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ANNUAL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December 31, 2017</w:t>
      </w:r>
    </w:p>
    <w:p>
      <w:pPr>
        <w:spacing w:after="0" w:line="22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UNDER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32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140" w:type="dxa"/>
            <w:vAlign w:val="bottom"/>
            <w:gridSpan w:val="4"/>
          </w:tcPr>
          <w:p>
            <w:pPr>
              <w:jc w:val="center"/>
              <w:ind w:right="2280"/>
              <w:spacing w:after="0"/>
              <w:rPr>
                <w:sz w:val="20"/>
                <w:szCs w:val="20"/>
                <w:color w:val="auto"/>
              </w:rPr>
            </w:pPr>
            <w:r>
              <w:rPr>
                <w:rFonts w:ascii="Times New Roman" w:cs="Times New Roman" w:eastAsia="Times New Roman" w:hAnsi="Times New Roman"/>
                <w:sz w:val="18"/>
                <w:szCs w:val="18"/>
                <w:color w:val="auto"/>
                <w:w w:val="99"/>
              </w:rPr>
              <w:t>Commission File Number: 001-36728</w:t>
            </w:r>
          </w:p>
        </w:tc>
      </w:tr>
      <w:tr>
        <w:trPr>
          <w:trHeight w:val="481"/>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140" w:type="dxa"/>
            <w:vAlign w:val="bottom"/>
            <w:gridSpan w:val="4"/>
          </w:tcPr>
          <w:p>
            <w:pPr>
              <w:jc w:val="center"/>
              <w:ind w:right="2320"/>
              <w:spacing w:after="0"/>
              <w:rPr>
                <w:sz w:val="20"/>
                <w:szCs w:val="20"/>
                <w:color w:val="auto"/>
              </w:rPr>
            </w:pPr>
            <w:r>
              <w:rPr>
                <w:rFonts w:ascii="Times New Roman" w:cs="Times New Roman" w:eastAsia="Times New Roman" w:hAnsi="Times New Roman"/>
                <w:sz w:val="24"/>
                <w:szCs w:val="24"/>
                <w:b w:val="1"/>
                <w:bCs w:val="1"/>
                <w:color w:val="auto"/>
              </w:rPr>
              <w:t>ADMA BIOLOGICS, INC.</w:t>
            </w:r>
          </w:p>
        </w:tc>
      </w:t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40" w:type="dxa"/>
            <w:vAlign w:val="bottom"/>
            <w:gridSpan w:val="4"/>
          </w:tcPr>
          <w:p>
            <w:pPr>
              <w:jc w:val="center"/>
              <w:ind w:right="22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20" w:type="dxa"/>
            <w:vAlign w:val="bottom"/>
          </w:tcPr>
          <w:p>
            <w:pPr>
              <w:jc w:val="center"/>
              <w:ind w:right="212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9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56-2590442</w:t>
            </w:r>
          </w:p>
        </w:tc>
      </w:tr>
      <w:tr>
        <w:trPr>
          <w:trHeight w:val="228"/>
        </w:trPr>
        <w:tc>
          <w:tcPr>
            <w:tcW w:w="20" w:type="dxa"/>
            <w:vAlign w:val="bottom"/>
          </w:tcPr>
          <w:p>
            <w:pPr>
              <w:spacing w:after="0"/>
              <w:rPr>
                <w:sz w:val="19"/>
                <w:szCs w:val="19"/>
                <w:color w:val="auto"/>
              </w:rPr>
            </w:pPr>
          </w:p>
        </w:tc>
        <w:tc>
          <w:tcPr>
            <w:tcW w:w="54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00" w:type="dxa"/>
            <w:vAlign w:val="bottom"/>
          </w:tcPr>
          <w:p>
            <w:pPr>
              <w:spacing w:after="0"/>
              <w:rPr>
                <w:sz w:val="19"/>
                <w:szCs w:val="19"/>
                <w:color w:val="auto"/>
              </w:rPr>
            </w:pPr>
          </w:p>
        </w:tc>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630"/>
        </w:trPr>
        <w:tc>
          <w:tcPr>
            <w:tcW w:w="20" w:type="dxa"/>
            <w:vAlign w:val="bottom"/>
          </w:tcPr>
          <w:p>
            <w:pPr>
              <w:spacing w:after="0"/>
              <w:rPr>
                <w:sz w:val="24"/>
                <w:szCs w:val="24"/>
                <w:color w:val="auto"/>
              </w:rPr>
            </w:pPr>
          </w:p>
        </w:tc>
        <w:tc>
          <w:tcPr>
            <w:tcW w:w="5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465 State Route 17, Ramsey, New Jersey</w:t>
            </w:r>
          </w:p>
        </w:tc>
        <w:tc>
          <w:tcPr>
            <w:tcW w:w="3600" w:type="dxa"/>
            <w:vAlign w:val="bottom"/>
            <w:gridSpan w:val="2"/>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7"/>
              </w:rPr>
              <w:t>07446</w:t>
            </w:r>
          </w:p>
        </w:tc>
        <w:tc>
          <w:tcPr>
            <w:tcW w:w="232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5480" w:type="dxa"/>
            <w:vAlign w:val="bottom"/>
            <w:tcBorders>
              <w:top w:val="single" w:sz="8" w:color="auto"/>
            </w:tcBorders>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auto"/>
              </w:rPr>
              <w:t>(Address of Principal Executive Offices)</w:t>
            </w:r>
          </w:p>
        </w:tc>
        <w:tc>
          <w:tcPr>
            <w:tcW w:w="400" w:type="dxa"/>
            <w:vAlign w:val="bottom"/>
          </w:tcPr>
          <w:p>
            <w:pPr>
              <w:spacing w:after="0"/>
              <w:rPr>
                <w:sz w:val="16"/>
                <w:szCs w:val="16"/>
                <w:color w:val="auto"/>
              </w:rPr>
            </w:pPr>
          </w:p>
        </w:tc>
        <w:tc>
          <w:tcPr>
            <w:tcW w:w="55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color w:val="auto"/>
              </w:rPr>
              <w:t>(Zip Code)</w:t>
            </w:r>
          </w:p>
        </w:tc>
      </w:tr>
      <w:tr>
        <w:trPr>
          <w:trHeight w:val="238"/>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40" w:type="dxa"/>
            <w:vAlign w:val="bottom"/>
            <w:gridSpan w:val="4"/>
          </w:tcPr>
          <w:p>
            <w:pPr>
              <w:jc w:val="center"/>
              <w:ind w:right="22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(201) 478-5552</w:t>
            </w:r>
          </w:p>
        </w:tc>
      </w:tr>
      <w:tr>
        <w:trPr>
          <w:trHeight w:val="43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140" w:type="dxa"/>
            <w:vAlign w:val="bottom"/>
            <w:gridSpan w:val="4"/>
          </w:tcPr>
          <w:p>
            <w:pPr>
              <w:jc w:val="center"/>
              <w:ind w:right="22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392"/>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of each class</w:t>
            </w:r>
          </w:p>
        </w:tc>
        <w:tc>
          <w:tcPr>
            <w:tcW w:w="3220" w:type="dxa"/>
            <w:vAlign w:val="bottom"/>
          </w:tcPr>
          <w:p>
            <w:pPr>
              <w:spacing w:after="0"/>
              <w:rPr>
                <w:sz w:val="24"/>
                <w:szCs w:val="24"/>
                <w:color w:val="auto"/>
              </w:rPr>
            </w:pPr>
          </w:p>
        </w:tc>
        <w:tc>
          <w:tcPr>
            <w:tcW w:w="59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37"/>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592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NASDAQ Stock Market LLC</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0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9"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7" w:lineRule="exact"/>
        <w:rPr>
          <w:sz w:val="24"/>
          <w:szCs w:val="24"/>
          <w:color w:val="auto"/>
        </w:rPr>
      </w:pPr>
    </w:p>
    <w:p>
      <w:pPr>
        <w:ind w:left="220" w:hanging="212"/>
        <w:spacing w:after="0" w:line="207" w:lineRule="exact"/>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voting and non-voting common stock held by non-affiliates was $25,433,363 as of June 30, 2017 (the last business day of the registrant’s most recently completed second fiscal quarter), based on a total of 6,873,882 shares of common stock held by non-affiliates and a closing price of $3.70 as reported on the Nasdaq Capital Market on June 30, 2017.</w:t>
      </w:r>
    </w:p>
    <w:p>
      <w:pPr>
        <w:spacing w:after="0" w:line="176"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9, 2018, there were 45,317,244 shares of the issuer’s common stock outstanding, comprised of 36,726,084 shares of voting common stock and 8,591,160 shares of non-voting common stock.</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Portions of the ADMA Biologics, Inc. definitive proxy statement to be filed pursuant to Regulation 14A within 120 days after the end of the fiscal year are incorporated by reference into Part III of this Annual Report on Form 10-K and certain documents are incorporated by reference into Part IV.</w:t>
      </w:r>
    </w:p>
    <w:p>
      <w:pPr>
        <w:sectPr>
          <w:pgSz w:w="11900" w:h="16838" w:orient="portrait"/>
          <w:cols w:equalWidth="0" w:num="1">
            <w:col w:w="11420"/>
          </w:cols>
          <w:pgMar w:left="240" w:top="468" w:right="239" w:bottom="0" w:gutter="0" w:footer="0" w:header="0"/>
        </w:sectPr>
      </w:pPr>
    </w:p>
    <w:bookmarkStart w:id="1" w:name="page2"/>
    <w:bookmarkEnd w:id="1"/>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20" w:type="dxa"/>
            <w:vAlign w:val="bottom"/>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ADMA BIOLOGICS, INC.</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Business</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Risk Factors</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Unresolved Staff Comments</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Properties</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Legal Proceedings</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Mine Safety Disclosures</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Selected Financial Data</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Quantitative and Qualitative Disclosures About Market Risk</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Financial Statements and Supplementary Data</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Controls and Procedures</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Other Information</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III</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Directors, Executive Officers and Corporate Governance</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Executive Compensation</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Certain Relationships and Related Transactions, and Director Independence</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Principal Accountant Fees and Services</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IV</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Exhibits, Financial Statement Schedules</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16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Form 10-K Summary</w:t>
              </w:r>
            </w:hyperlink>
          </w:p>
        </w:tc>
        <w:tc>
          <w:tcPr>
            <w:tcW w:w="1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3" w:name="page4"/>
    <w:bookmarkEnd w:id="3"/>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Some of the information in this Annual Report on Form 10-K contains forward-looking statements within the meaning of the federal securities laws. These statements include, among others, statements about:</w:t>
      </w:r>
    </w:p>
    <w:p>
      <w:pPr>
        <w:spacing w:after="0" w:line="162" w:lineRule="exact"/>
        <w:rPr>
          <w:sz w:val="20"/>
          <w:szCs w:val="20"/>
          <w:color w:val="auto"/>
        </w:rPr>
      </w:pPr>
    </w:p>
    <w:p>
      <w:pPr>
        <w:ind w:left="660" w:right="160" w:hanging="328"/>
        <w:spacing w:after="0" w:line="289"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leverage the anticipated benefits and synergies from our June 6, 2017 acquisition of certain assets of Biotest Pharmaceuticals Corporation (the “Biotest Transaction”), including optimization of the combined businesses, operations and products and services, including the nature, strategy and focus of the combined company and the management and governance structure of the combined company;</w:t>
      </w:r>
    </w:p>
    <w:p>
      <w:pPr>
        <w:spacing w:after="0" w:line="158" w:lineRule="exact"/>
        <w:rPr>
          <w:rFonts w:ascii="Times New Roman" w:cs="Times New Roman" w:eastAsia="Times New Roman" w:hAnsi="Times New Roman"/>
          <w:sz w:val="17"/>
          <w:szCs w:val="17"/>
          <w:color w:val="auto"/>
        </w:rPr>
      </w:pPr>
    </w:p>
    <w:p>
      <w:pPr>
        <w:ind w:left="660" w:right="18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resume the manufacturing and commercialization of Bivigam once the deficiencies identified in a November 2014 warning letter (the “Warning Letter”) with respect to the outstanding issues at the plasma fractionation facility in Boca Raton, FL acquired in the Biotest Transaction have been resolved by us to the satisfaction of the U.S. Food and Drug Administration (the “FDA”), as well as a positive review of the optimized manufacturing process under a Prior Approval Supplement by the FDA;</w:t>
      </w:r>
    </w:p>
    <w:p>
      <w:pPr>
        <w:spacing w:after="0" w:line="180"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resubmit to the FDA our Biologics License Application (the “BLA”) for our lead pipeline product candidate, RI-002 (“RI-002”), once the deficiencies identified in the Complete Response Letter we received in July 2016 reaffirming the issues set forth in the Warning Letter have been resolved by us and/or our third-party vendors to the satisfaction of the FDA, and other requests for information included therein have been provided by us;</w:t>
      </w:r>
    </w:p>
    <w:p>
      <w:pPr>
        <w:spacing w:after="0" w:line="18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manufacture, market, launch and expand our own commercial infrastructure and commercialize our current products and future products and the success of such efforts;</w:t>
      </w:r>
    </w:p>
    <w:p>
      <w:pPr>
        <w:spacing w:after="0" w:line="16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expected timing of and our ability to obtain and maintain regulatory approvals for our current products and product candidates, including the timeframe within which we may receive approval from the FDA, if at all, of our BLA resubmission for RI-002 and the labeling or nature of any such approvals;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or expected timing, progress and results of clinical development, clinical trials and potential regulatory approvals;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our third-party and related-party customers and vendors and their compliance with regulatory bodies;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quantities of FDA-approved plasma with proper specifications;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increase our supplies of plasma;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indications for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investigational new product applications;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acceptability of any of our products, including RI-002, for any purpose by physicians, patients or payers;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concurrence by the FDA with our conclusions and the satisfaction by us of its guidance;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results of our immune globulin products to other comparably run Intravenous Immune Globulin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RI-002 and Bivigam to provide meaningful clinical improvement for patients living with Primary Immune Deficiency Disease;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promote Nabi-HB in a highly competitive environment and to generate meaningful revenues from this product;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 w:name="page5"/>
    <w:bookmarkEnd w:id="4"/>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right="1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defense thereof, including our expectations regarding the scope of patent protection with respect to RI-002 or other future pipeline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third-party contractor capabilities and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manufacturing, supply and other collaborative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capital requirements and the need for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or likely reimbursement levels for our currently marketed products and, if any, if and when RI-002 is approved for marketing;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market size, projected growth and sales for our existing products as well as our expectations of market acceptance of RI-002;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economic conditions or performance;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future capital requirements.</w:t>
      </w:r>
    </w:p>
    <w:p>
      <w:pPr>
        <w:spacing w:after="0" w:line="225"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These statements may be found under the “Risk Factors,” “Management’s Discussion and Analysis of Financial Condition and Results of Operations” and “Business” sections of this Annual Report on Form 10-K. Forward-looking statements typically are identified by the use of terms such as “anticipates,” “believes,” “can,” “continue,” “could,” “estimates,” “expects,” “intends,” “may,” “plans,” “potential,” “predicts,” “should” or “will” or the negative thereof or other variations thereof or comparable terminology. You should be aware that our actual results could differ materially from those contained in the forward-looking statements due to the factors referenced above.</w:t>
      </w:r>
    </w:p>
    <w:p>
      <w:pPr>
        <w:spacing w:after="0" w:line="18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foregoing, you should also consider carefully the statements under the section entitled “Risk Factors” and other sections of this Annual Report on Form 10-K, which address additional factors that could cause our actual results to differ from those set forth in the forward-looking statements. We undertake no obligation to release publicly any updates or revisions to any forward-looking statements contained herein to reflect any change in our expectations or any changes in events, conditions or circumstances on which any such statement is based, except as required by law.</w:t>
      </w:r>
    </w:p>
    <w:p>
      <w:pPr>
        <w:spacing w:after="0" w:line="180"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This Annual Report on Form 10-K includes our trademarks, trade names and service marks, such as “Nabi-HB®” and “Bivigam®” which are protected under applicable intellectual property laws and are the property of ADMA Biologics, Inc., or its subsidiaries. Solely for convenience, trademarks, trade names and service marks referred to in this Annual Report may appear without the ®, ™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 w:name="page6"/>
    <w:bookmarkEnd w:id="5"/>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Business section to “ADMA,” “ADMA Biologics,” the “Company,” “we,” “us” and “our” refer to ADMA Biologics, Inc., a Delaware corporation, as well as its wholly- owned and indirectly owned subsidiaries, ADMA Plasma Biologics, Inc., a Delaware corporation, ADMA Bio Centers Georgia Inc., a Delaware corporation (“ADMA BioCenters”) and ADMA BioManufacturing, LLC, a Delaware limited liability company (“ADMA BioManufacturing”).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are a vertically integrated commercial biopharmaceutical and specialty immunoglobulin company that manufactures, markets and develops specialty plasma-derived biologics for the treatment of immune deficiencies and prevention of certain infectious diseases. Our targeted patient populations include immune-compromised individuals who suffer from an underlying immune deficiency disorder or who may be immune-suppressed for medical reasons. We currently have two marketed products: Nabi-HB, indicated for the treatment of acute exposure to blood containing Hepatitis B surface antigen (“HBsAg”); and Bivigam, indicated for the treatment of primary humoral immunodeficiency. We are also developing a pipeline of plasma-derived therapeutics, including our lead pipeline product candidate, RI-002, for the treatment of Primary Immune Deficiency Disease (“PIDD”). Our products and product candidates are intended to be used by physician specialists focused on caring for immune-compromised patients with or at risk for certain infectious diseases. Through ADMA BioCenters, we operate two United States Food and Drug Administration (the “FDA”)-licensed, German Health Authority (“GHA”) and Korean Ministry of Food and Drug Safety (“KMFDS”)-certified source plasma collection facilities located in the U.S., which provide us with a portion of our blood plasma for the manufacture of our products and product candidates.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U.S., in other locations where we are approved globally under supply agreements or in the open "spot" market.</w:t>
      </w:r>
    </w:p>
    <w:p>
      <w:pPr>
        <w:spacing w:after="0" w:line="19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On June 6, 2017, we completed the acquisition of certain assets (the “Biotest Assets”) of the Therapy Business Unit (“BTBU”) of Biotest Pharmaceuticals Corporation (“BPC” and, together with Biotest AG, “Biotest”), which include two FDA-licensed products, Nabi-HB (Hepatitis B Immune Globulin, Human) and Bivigam (Immune Globulin Intravenous, Human) and a plasma fractionation facility located in Boca Raton, FL (the “Boca Facility”) (the “Biotest Transaction”). The Boca Facility is FDA-licensed and certified by the GHA. In addition to the manufacture and sale of Nabi-HB and Bivigam, we also provide contract manufacturing services for certain historical clients, including the sale of intermediate by-products. Immediately following the acquisition, the Biotest Assets were contributed into ADMA BioManufacturing.</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Concurrent with the closing of the Biotest Transaction, Biotest committed to an aggregate of $40.0 million of funding for us. Upon the closing of the Biotest Transaction, we received $27.5 million from Biotest, comprised of $12.5 million in cash from BPC and a $15.0 million subordinated note at 6% interest payable to BPC with a maturity of five years. At the closing of the Biotest Transaction, we delivered to BPC an aggregate equity interest equal to 50%, less one share, of our then-issued and outstanding capital stock comprised of 25%, or 4,295,580 shares, of our voting common stock, $0.0001 par value per share (“Common Stock”), and 8,591,160 shares in the form of our non-voting common stock, $0.0001 par value per share (“Non-Voting Common Stock”) (calculated as of immediately following the closing and on a post-closing issuance basis). The Non-Voting Common Stock is convertible into our Common Stock upon the occurrence of certain specified events. Biotest also participated in our November 2017 follow-on equity offering by investing $12.5 million of the $42.0 million of total gross proceeds from the offering (see “Management’s Discussion and Analysis of Financial Condition and Results of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appearing elsewhere in this Annual Report).</w:t>
      </w:r>
    </w:p>
    <w:p>
      <w:pPr>
        <w:spacing w:after="0" w:line="189" w:lineRule="exact"/>
        <w:rPr>
          <w:sz w:val="20"/>
          <w:szCs w:val="20"/>
          <w:color w:val="auto"/>
        </w:rPr>
      </w:pPr>
    </w:p>
    <w:p>
      <w:pPr>
        <w:ind w:right="320" w:firstLine="648"/>
        <w:spacing w:after="0" w:line="289" w:lineRule="auto"/>
        <w:rPr>
          <w:sz w:val="20"/>
          <w:szCs w:val="20"/>
          <w:color w:val="auto"/>
        </w:rPr>
      </w:pPr>
      <w:r>
        <w:rPr>
          <w:rFonts w:ascii="Times New Roman" w:cs="Times New Roman" w:eastAsia="Times New Roman" w:hAnsi="Times New Roman"/>
          <w:sz w:val="17"/>
          <w:szCs w:val="17"/>
          <w:color w:val="auto"/>
        </w:rPr>
        <w:t>As part of the purchase price to acquire the Biotest Assets, we agreed to transfer ownership of two of our plasma collection facilities to BPC on January 1, 2019. We completed the construction of our third plasma collection facility, filed our Biologics License Application with the FDA and initiated collections for this facility in December 2017. We anticipate FDA approval of our third plasma collection facility to occur during the second half of 2018</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 w:name="page7"/>
    <w:bookmarkEnd w:id="6"/>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Marketed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Nabi-HB</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to infants born to HBsAg-positive mothers, sexual exposure to HBsAg-positive persons and household exposure to persons with acute Hepatitis B virus infection.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FDA approval for Nabi-HB was received on March 24, 1999. Biotest acquired Nabi-HB from Nabi Biopharmaceuticals in 2007. Production of Nabi-HB at the Boca Facility has continued under our leadership since the third quarter of 2017. Subsequent to the end of 2017, we received authorization from the FDA for the release of our first commercial batch of Nabi-HB for commercial distribution in the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Bivigam</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Bivigam is an intravenous immune globulin indicated for the treatment of primary humoral immunodeficiency. This includes, but is not limited to, agammaglobulinemia, common variable immunodeficiency, Wiskott-Aldrich syndrome and severe combined immunodeficiency. These primary immunodeficiencies (“PIs” are a group of genetic disorders. Initially thought to be very rare, it is now believed that as many as one in every 1,200-2,000 people has some form of PI. Bivigam contains a broad range of antibodies similar to those found in normal human plasma. These antibodies are directed against bacteria and viruses, and help to protect PI patients against serious infections. Bivigam is a purified, sterile, ready-to-use preparation of concentrated Immunoglobulin (“IgG”) antibodies. Antibodies are proteins in the human immune system that work to defend against disease. FDA approval for Bivigam was received on December 19, 2012, and sales commenced in the first quarter of 2013. In December 2016, BPC temporarily suspended the commercial production of Bivigam in order to focus on the completion of planned improvements to the manufacturing process. We resumed production of Bivigam utilizing our optimized intravenous immunoglobulin (“IVIG”) manufacturing process with two conformance lots in the fourth quarter of 2017 and a third conformance lot in the first quarter of 2018. Subsequent to the end of 2017, we qualified and filled these Bivigam conformance batches and the product is on stability. We expect to file a Prior Approval Supplement (the “PAS”) with the FDA during the first half of 2018 and are seeking FDA clearance which would enable us to relaunch this product during the second half of 2018.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Lead Pipeline Product Candidate – RI-002</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currently developing our lead pipeline product candidate, RI-002, for the treatment of PIDD and have completed a pivotal Phase III clinical trial, which met the primary endpoint of no Serious Bacterial Infections (“SBIs”) reported. Secondary efficacy endpoints further demonstrated the benefits of RI-002 in the low incidence of infection, therapeutic antibiotic use, days missed from work/school/daycare and unscheduled medical visits and hospitalizations. RI-002 is derived from human plasma blended from normal donors and from donors tested to have high levels of neutralizing titers to Respiratory Syncytial Virus (“RSV”). RI-002 is manufactured using a process known as fractionation, which purifies human IgG from this blended plasma pool resulting in a final IVIG product enriched with naturally occurring polyclonal anti-pathogen antibodies (such as streptococcus pneumonia, H. influenza type B, Cytomegalovirus (“CMV”), measles and tetanus). We use our proprietary RSV microneutralization assay to test for standardized levels of neutralizing antibodies to RSV in the final drug product.</w:t>
      </w:r>
    </w:p>
    <w:p>
      <w:pPr>
        <w:spacing w:after="0" w:line="18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Prior to the closing of the Biotest Transaction, BTBU was our third-party manufacturer for RI-002. In the third quarter of 2015, the FDA accepted for review our Biologics License Application for RI-002 (the “BLA”) for the treatment of PIDD. In July 2016, the FDA issued a Complete Response Letter (the “CRL”). The CRL reaffirmed the issues set forth in a November 2014 warning letter (the “Warning Letter”) that had been issued by the FDA to Biotest related to certain issues identified at the Boca Facility, but did not cite any concerns with the clinical safety or efficacy data for RI-002 submitted in our BLA, nor did the FDA request any additional clinical studies be completed prior to FDA approval of RI-002. The FDA identified in the CRL, among other things, certain outstanding inspection issues and deficiencies related to Chemistry, Manufacturing and Controls (“CMC”) and Good Manufacturing Practices (“GMP”) at the Boca Facility and at certain of our third-party vendors, and requested documentation of corrections for a number of these issues. The FDA indicated in the CRL that it cannot grant final approval of our BLA until, among other things, these deficiencies are resolved. Following the completion of the Biotest Transaction, we now have control over the regulatory, quality, general operations and drug substance manufacturing process at the Boca Facility, and our highest priority is to remediate the outstanding compliance issues that were identified at the Boca Facility in the Warning Letter. We have been working with a consulting firm consisting of quality management systems and biologics production subject matter experts in preparation for a re-inspection by the FDA in order to improve the FDA inspection classification relative to the Warning Letter compliance issues as indicated in the CRL. We believe that we have been inspection-ready since the end of 2017. Once the Warning Letter status is improved following the FDA inspection, we anticipate that we will be in a position to refile our BLA for RI-002 in the second half of 2018. Subsequent to the end of 2017, we produced three conformance lots using the optimized IVIG manufacturing process, and these batches are expected to be filled and finished during the second quarter of 2018 and will then be placed on stability.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 w:name="page8"/>
    <w:bookmarkEnd w:id="7"/>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RI-002 in PIDD Patients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PIDD, a genetic disorder that causes a deficient or absent immune system, is caused by hereditary or genetic defects and can affect anyone regardless of age or gender. PIDD patients are more vulnerable to infections and more likely to suffer complications from these infections. IVIG is a plasma derived product that is used to prevent serious infections in patients with PIDD. It is comprised of polyclonal antibodies, which are proteins produced by B-cells that are used by the body’s immune system to neutralize foreign objects such as bacteria and viruses. It is estimated that there are about 250,000 diagnosed PIDD patients in the U.S., approximately half of whom are treated with IVIG regularly. In the U.S., sales of immune globulin products for all its uses were reported to be approximately $4.8 billion in 2014.</w:t>
      </w:r>
    </w:p>
    <w:p>
      <w:pPr>
        <w:spacing w:after="0" w:line="18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RI-002 pivotal Phase III clinical trial was conducted as a single arm study in which patients were treated approximately once per month for a period of 12 months plus 90 days for follow up. Fifty-nine patients were enrolled in nine treatment centers in the U.S. The pivotal Phase III primary endpoint followed published FDA industry guidance, which provides for a reduction in the incidence of serious infections to less than one per year in each subject receiving IVIG. The secondary outcome was safety and included other pharmacokinetic (“PK”) data collection points including antibody titers for certain agents, including RSV antibody levels at various time points after infusion.</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RI-002 demonstrated positive results in the Phase III study in patients with PIDD, meeting its primary endpoint of no SBIs reported. RI-002 was administered in a total of 793 infusions with zero serious adverse events to 59 patients in nine treatment centers throughout the U.S. These results, included in our BLA, more than meet the requirement specified by FDA guidance of ≤ 1 SBI per patient-year.</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February 22, 2015, at the 2015 American Academy of Allergy, Asthma &amp; Immunology Annual Meeting, scientific investigators reported on the secondary outcomes that included: a total of 93 days, or 1.66 days per patient per year lost from work or school due to infection; one hospitalization due to an infection of only five days duration in the entire study and IgG trough levels above those required by the FDA for IVIG products. Additionally, there was a marked increase in all of the measured specific anti-pathogen antibodies in PK subjects (n=31). The mean of maximum fold increases in specific antibody levels after infusion of RI-002 ranged from 1.9 fold (S. pneumonia type 19A) to 5.3 fold (RSV), which were statistically significant fold increases from the pathogen's specific measured baselines. The safety profile of RI-002 is comparable to that of other immunoglobulins.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Rationale for the Potential Evaluation of RI-002 in RSV Infected Patients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RSV is a common virus that ordinarily leads to mild, cold-like symptoms in healthy adults and children. In high-risk groups, such as the PIDD population and the other immune-compromised populations, RSV can lead to a more serious infection and may even cause death. The polyclonal antibodies which are present in RI-002 are expected to prevent infections in immune-compromised patients.</w:t>
      </w:r>
    </w:p>
    <w:p>
      <w:pPr>
        <w:spacing w:after="0" w:line="176" w:lineRule="exact"/>
        <w:rPr>
          <w:sz w:val="20"/>
          <w:szCs w:val="20"/>
          <w:color w:val="auto"/>
        </w:rPr>
      </w:pPr>
    </w:p>
    <w:p>
      <w:pPr>
        <w:ind w:right="180" w:firstLine="648"/>
        <w:spacing w:after="0" w:line="270" w:lineRule="auto"/>
        <w:rPr>
          <w:sz w:val="20"/>
          <w:szCs w:val="20"/>
          <w:color w:val="auto"/>
        </w:rPr>
      </w:pPr>
      <w:r>
        <w:rPr>
          <w:rFonts w:ascii="Times New Roman" w:cs="Times New Roman" w:eastAsia="Times New Roman" w:hAnsi="Times New Roman"/>
          <w:sz w:val="17"/>
          <w:szCs w:val="17"/>
          <w:color w:val="auto"/>
        </w:rPr>
        <w:t>We previously conducted a randomized, double-blind, placebo-controlled Phase II clinical trial to evaluate RI-001, RI-002’s predecessor product candidate, in immune-compromised, RSV-infected patients. This trial was conducted with 21 patients in the U.S., Canada, Australia, and New Zealand. The Phase II dose-ranging trial demonstrated a statistically significant improvement in the change from baseline RSV titers to day 18 in the high dose and low dose treatment groups when compared with placebo (p=0.0043 and p=0.0268, respectively). The mean fold increase for high dose was 9.24 (95% CI 4.07,</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21.02) and the observed mean fold increase for low dose was 4.85 (95% CI 2.22, 10.59). The mean fold change for placebo treated patients was 1.42 (95% CI 0.64, 3.17). In addition, more patients in the high dose (85.7%) and low dose (42.9%) groups experienced greater than a four-fold increase from baseline to day 18 in RSV titer levels compared to placebo (0%). There were no serious drug-related adverse events reported during the trial.</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 w:name="page9"/>
    <w:bookmarkEnd w:id="8"/>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From April 2009 through February 2011, RI-001 was also administered to 15 compassionate use patients where physicians requested access to the product for treating their patients with documented lower respiratory tract RSV infections due to the fact that these patients had failed conventional therapeutic interventions. Serum samples were obtained from 13 patients. Samples showed that patients demonstrated a four-fold or greater rise in RSV antibody titers from baseline. Serum samples were not obtained from two patients that received Palivizumab. All 11 surviving patients received RI-001 within an average of 4.4 days after the onset of the diagnosis of RSV. The drug was well-tolerated in all 15 patients and there were no reports of serious adverse events attributable to RI-001. Data from our Phase II clinical trial, compassionate use experience and data obtained from the evaluation of RI-002 in the infected cotton rat animal model has been presented at various conferences the past several years.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these results, we intend to evaluate RI-002 for the treatment of RSV patients following FDA approval, if received, for treatment of PIDD.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 of Our Products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order to produce plasma-derived immunoglobulin products, raw material plasma is collected from human donors and then manufactured into specialized products. Historically, plasma for our products and product candidates has been collected from healthy donors at FDA-licensed plasma donation centers. Source plasma is collected at any one of over 400 FDA-licensed donation centers located throughout the U.S., using a process called automated plasmapheresis. This sterile, self-contained, automated process separates red blood cells and other cellular components in the blood, which are then returned to the donor. Source plasma obtained by plasmapheresis is tested and must be negative for antibodies to human immunodeficiency virus types 1 and 2 (HIV-1/2), HBsAg and Hepatitis C virus (“HCV”), using FDA-licensed serological test procedures.</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After receipt of the source plasma, the frozen plasma is thawed and pooled and goes through the fractionation process. This process is referred to as the Cohn method or cold ethanol method of fractionation. During cold ethanol fractionation, classes of proteins are precipitated and removed by centrifugation or filtration. The fractionation process includes the following steps; precipitation and absorption, depth filtration, centrifugation and chromatography. Because of the human origin of the raw material and the thousands of donations required in the fractionation process, the major risk associated to plasma products is the transmission of blood-borne infectious pathogens. These purification processes have the potential to reduce the viral load. The manufacturing process also utilizes a multistep viral removal/inactivation system, which further increases the safety of the products. The following manufacturing processes have been validated for their capability to eliminate or inactivate viruses: precipitation during cold ethanol fractionation, solvent/detergent treatment, and nanofiltration. Incorporation of these processes in the manufacturing process ensures that the Company’s products comply with the requirements of the FDA and are safe and efficacious.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Commercialization of Our Products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Historically, Nabi-HB has been sold through independent distributors, drug wholesalers acting as sales agents, specialty pharmacies and other alternate site providers. In the U.S., third-party drug wholesalers ship a significant portion of Nabi-HB through their distribution centers. These centers are generally stocked with adequate inventories to facilitate prompt customer service. Sales and distribution methods include frequent contact by sales and customer service representatives, automated communications via various electronic purchasing systems, circulation of catalogs and merchandising bulletins, direct-mail campaigns, trade publication presence and advertising.</w:t>
      </w:r>
    </w:p>
    <w:p>
      <w:pPr>
        <w:spacing w:after="0" w:line="18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While we have been working towards remediating the Warning Letter and other CMC and GMP inspection deficiencies and eventually refiling our BLA resubmission for RI-002, we expect to continue our commercialization efforts for our approved products and plan to bolster these initiatives by hiring a small, specialty sales force to market Nabi-HB, Bivigam upon its relaunch and, upon approval by the FDA, RI-002 to hospitals, physician offices/clinics, and other specialty treatment organizations. We also anticipate staffing our company with additional personnel for patient support, medical affairs, quality assurance, regulatory affairs, scientific affairs, third-party reimbursement, inventory and logistics, human resources and financial and operational management. If and when we receive FDA approval, we may also use a network of national distributors to assist with order fulfillment for RI-002 for use by healthcare professionals and hospitals.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 w:name="page10"/>
    <w:bookmarkEnd w:id="9"/>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Pricing and Reimbursement of Our Products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All sales of Nabi-HB, Bivigam and, if and when approved by the FDA, RI-002 in the U.S. depend in part upon the availability of reimbursement from third-party payers. Third-party payers include government health programs, managed care providers, private health insurers and other organizations. Nabi-HB and Bivigam are reimbursed or purchased under several government programs, including Medicaid, Medicare Parts B and D, the 340B/Public Health Service program, and pursuant to an existing contract with the Department of Veterans Affairs. Medicaid is a joint state and federal government health plan that provides covered outpatient prescription drugs for low-income individuals. Under Medicaid, drug manufacturers pay rebates to the states based on utilization data provided by the states.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Plasma Collection Facilities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ADMA BioCenters operates FDA-licensed, GHA and KMFDS certified source plasma collection facilities located in the U.S. which provide us with a portion of our blood plasma for the manufacture of our products and product candidates.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are sold to third-party customers in the U.S. and other locations where we are approved globally under supply agreements or in the open "spot" market.</w:t>
      </w:r>
    </w:p>
    <w:p>
      <w:pPr>
        <w:spacing w:after="0" w:line="188" w:lineRule="exact"/>
        <w:rPr>
          <w:sz w:val="20"/>
          <w:szCs w:val="20"/>
          <w:color w:val="auto"/>
        </w:rPr>
      </w:pPr>
    </w:p>
    <w:p>
      <w:pPr>
        <w:ind w:right="320" w:firstLine="648"/>
        <w:spacing w:after="0" w:line="289" w:lineRule="auto"/>
        <w:rPr>
          <w:sz w:val="20"/>
          <w:szCs w:val="20"/>
          <w:color w:val="auto"/>
        </w:rPr>
      </w:pPr>
      <w:r>
        <w:rPr>
          <w:rFonts w:ascii="Times New Roman" w:cs="Times New Roman" w:eastAsia="Times New Roman" w:hAnsi="Times New Roman"/>
          <w:sz w:val="17"/>
          <w:szCs w:val="17"/>
          <w:color w:val="auto"/>
        </w:rPr>
        <w:t>As part of the purchase price to acquire the Biotest Assets, we agreed to transfer ownership of two of our plasma collection facilities to BPC on January 1, 2019. We completed the construction of our third plasma collection facility, filed our Biologics License Application with the FDA and initiated collections for this facility in December 2017. We anticipate FDA approval of our third plasma collection facility to occur during the second half of 2018.</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w:t>
      </w:r>
    </w:p>
    <w:p>
      <w:pPr>
        <w:spacing w:after="0" w:line="22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founders of ADMA have several decades of combined experience marketing and distributing blood plasma products and devices. With our executive team, members of our Board of Directors (the “Board”) and our commercial team, we collectively possess a significant level of deep medical, technical, development and commercial experience in the biologics and pharmaceutical industries.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goal is to be a leader in developing, manufacturing and commercializing specialized, targeted, plasma-derived therapeutics that are intended to extend and enhance the lives of individuals who are naturally or medically immune-compromised. The key elements of our strategy for achieving this goal are as follows:</w:t>
      </w:r>
    </w:p>
    <w:p>
      <w:pPr>
        <w:spacing w:after="0" w:line="172" w:lineRule="exact"/>
        <w:rPr>
          <w:sz w:val="20"/>
          <w:szCs w:val="20"/>
          <w:color w:val="auto"/>
        </w:rPr>
      </w:pPr>
    </w:p>
    <w:p>
      <w:pPr>
        <w:ind w:left="660" w:right="4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Remediate the outstanding compliance deficiencies identified by the FDA in the CRL and Warning Letter at the Boca Facility</w:t>
      </w:r>
      <w:r>
        <w:rPr>
          <w:rFonts w:ascii="Times New Roman" w:cs="Times New Roman" w:eastAsia="Times New Roman" w:hAnsi="Times New Roman"/>
          <w:sz w:val="18"/>
          <w:szCs w:val="18"/>
          <w:color w:val="auto"/>
        </w:rPr>
        <w:t>.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the Biotest Transaction, we now have control over the regulatory, quality, general operations and drug substance manufacturing process at the Boca Facility. Our highest priority has been to remediate the outstanding compliance issues at the Boca Facility while owned and operated by Biotest that were identified by the FDA in the CRL and the Warning Letter. We engaged a leading consulting firm with extensive experience in remediating compliance and inspection issues related to quality management systems that manages a robust team of subject matter experts in plasma derived products and biologic drugs to assist us in addressing all identified CMC and current good manufacturing practice (“cGMP”) issues and deficiencies. We believe that we have been inspection-ready since the end of 2017 and expect to have the FDA inspection classification relative to the Warning Letter improved after the next inspection by the FDA.</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 w:name="page11"/>
    <w:bookmarkEnd w:id="10"/>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left="660" w:right="160" w:hanging="328"/>
        <w:spacing w:after="0" w:line="291"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Increase marketing efforts around Nabi-HB and relaunch Bivigam. </w:t>
      </w:r>
      <w:r>
        <w:rPr>
          <w:rFonts w:ascii="Times New Roman" w:cs="Times New Roman" w:eastAsia="Times New Roman" w:hAnsi="Times New Roman"/>
          <w:sz w:val="17"/>
          <w:szCs w:val="17"/>
          <w:color w:val="auto"/>
        </w:rPr>
        <w:t>We plan to increase our marketing efforts and attend relevant medical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conferences during 2018, raising awareness of the risks associated with Hepatitis B and the benefits and efficacy of Nabi-HB. Similarly, we plan to relaunch Bivigam following the submission and review by the FDA of the PAS, which will detail our optimized Bivigam manufacturing process.</w:t>
      </w:r>
    </w:p>
    <w:p>
      <w:pPr>
        <w:spacing w:after="0" w:line="153" w:lineRule="exact"/>
        <w:rPr>
          <w:rFonts w:ascii="Times New Roman" w:cs="Times New Roman" w:eastAsia="Times New Roman" w:hAnsi="Times New Roman"/>
          <w:sz w:val="17"/>
          <w:szCs w:val="17"/>
          <w:color w:val="auto"/>
        </w:rPr>
      </w:pPr>
    </w:p>
    <w:p>
      <w:pPr>
        <w:ind w:left="660" w:right="4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Obtain FDA approval of RI-002 as a treatment for PIDD</w:t>
      </w:r>
      <w:r>
        <w:rPr>
          <w:rFonts w:ascii="Times New Roman" w:cs="Times New Roman" w:eastAsia="Times New Roman" w:hAnsi="Times New Roman"/>
          <w:sz w:val="18"/>
          <w:szCs w:val="18"/>
          <w:color w:val="auto"/>
        </w:rPr>
        <w:t>. In the third quarter of 2015, the FDA accepted for review our BLA for the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PIDD. In July 2016, the FDA issued the CRL. The CRL did not cite any concerns with the clinical safety or efficacy data for RI-002 submitted in our BLA, nor did the FDA request any additional clinical studies be completed prior to FDA approval of RI-002. In connection with our remediation efforts at the Boca Facility, we anticipate that we will be in a position to refile our BLA for RI-002 in the second half of 2018.</w:t>
      </w:r>
    </w:p>
    <w:p>
      <w:pPr>
        <w:spacing w:after="0" w:line="176" w:lineRule="exact"/>
        <w:rPr>
          <w:rFonts w:ascii="Times New Roman" w:cs="Times New Roman" w:eastAsia="Times New Roman" w:hAnsi="Times New Roman"/>
          <w:sz w:val="18"/>
          <w:szCs w:val="18"/>
          <w:color w:val="auto"/>
        </w:rPr>
      </w:pPr>
    </w:p>
    <w:p>
      <w:pPr>
        <w:ind w:left="660" w:right="40" w:hanging="328"/>
        <w:spacing w:after="0" w:line="25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Commercialize RI-002 as a treatment for PIDD</w:t>
      </w:r>
      <w:r>
        <w:rPr>
          <w:rFonts w:ascii="Times New Roman" w:cs="Times New Roman" w:eastAsia="Times New Roman" w:hAnsi="Times New Roman"/>
          <w:sz w:val="18"/>
          <w:szCs w:val="18"/>
          <w:color w:val="auto"/>
        </w:rPr>
        <w:t>. We plan to enhance our recruiting initiatives and expand our existing specialty commercial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force to market RI-002 to hospitals, physician offices/clinics, and other specialty treatment and infusion center organizations. We also anticipate staffing our company with additional personnel for patient support, medical affairs, quality assurance, regulatory affairs, scientific affairs, third-party reimbursement, inventory and logistics, human resources, and financial and operational management. We may also use a network of national distributors to fulfill orders for RI-002.</w:t>
      </w:r>
    </w:p>
    <w:p>
      <w:pPr>
        <w:spacing w:after="0" w:line="179" w:lineRule="exact"/>
        <w:rPr>
          <w:rFonts w:ascii="Times New Roman" w:cs="Times New Roman" w:eastAsia="Times New Roman" w:hAnsi="Times New Roman"/>
          <w:sz w:val="18"/>
          <w:szCs w:val="18"/>
          <w:color w:val="auto"/>
        </w:rPr>
      </w:pPr>
    </w:p>
    <w:p>
      <w:pPr>
        <w:ind w:left="660" w:right="180" w:hanging="328"/>
        <w:spacing w:after="0" w:line="25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RI-002’s FDA-approved uses</w:t>
      </w:r>
      <w:r>
        <w:rPr>
          <w:rFonts w:ascii="Times New Roman" w:cs="Times New Roman" w:eastAsia="Times New Roman" w:hAnsi="Times New Roman"/>
          <w:sz w:val="18"/>
          <w:szCs w:val="18"/>
          <w:color w:val="auto"/>
        </w:rPr>
        <w:t>. If RI-002 is approved by the FDA as a treatment for PIDD, we plan to evaluate the clinical and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paths to grow the RI-002 franchise through expanded FDA-approved uses. We believe that there may be patient populations beyond PIDD that would derive clinical benefit from RI-002, some of which may be eligible for orphan status. We plan to leverage our previously conducted randomized, double-blind, placebo-controlled Phase II clinical trial evaluating RI-001, RI-002’s predecessor product candidate, in immune-compromised, RSV-infected patients to explore RI-002 for the treatment of RSV.</w:t>
      </w:r>
    </w:p>
    <w:p>
      <w:pPr>
        <w:spacing w:after="0" w:line="179"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Expand our pipeline with additional plasma-derived therapeutics</w:t>
      </w:r>
      <w:r>
        <w:rPr>
          <w:rFonts w:ascii="Times New Roman" w:cs="Times New Roman" w:eastAsia="Times New Roman" w:hAnsi="Times New Roman"/>
          <w:sz w:val="17"/>
          <w:szCs w:val="17"/>
          <w:color w:val="auto"/>
        </w:rPr>
        <w:t>. Our core competency is in the development, manufacturing, testing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commercialization of plasma-derived therapeutics. We believe there are a number of under-addressed medical conditions for which plasma-derived therapeutics may be beneficial. Utilizing our intellectual property patents, which include our proprietary testing assay and other standardization methods and technologies, we have identified potential new product candidates that we may advance into preclinical activities in the near term.</w:t>
      </w:r>
    </w:p>
    <w:p>
      <w:pPr>
        <w:spacing w:after="0" w:line="161" w:lineRule="exact"/>
        <w:rPr>
          <w:rFonts w:ascii="Times New Roman" w:cs="Times New Roman" w:eastAsia="Times New Roman" w:hAnsi="Times New Roman"/>
          <w:sz w:val="17"/>
          <w:szCs w:val="17"/>
          <w:color w:val="auto"/>
        </w:rPr>
      </w:pPr>
    </w:p>
    <w:p>
      <w:pPr>
        <w:ind w:left="660" w:hanging="328"/>
        <w:spacing w:after="0" w:line="274"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Develop and expand ADMA BioCenters</w:t>
      </w:r>
      <w:r>
        <w:rPr>
          <w:rFonts w:ascii="Times New Roman" w:cs="Times New Roman" w:eastAsia="Times New Roman" w:hAnsi="Times New Roman"/>
          <w:sz w:val="17"/>
          <w:szCs w:val="17"/>
          <w:color w:val="auto"/>
        </w:rPr>
        <w:t>. In order to maintain partial control of our raw material supply as well as generate revenues through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additional sources, we operate ADMA BioCenters, a subsidiary that manages plasma collection facilities in the U.S. These facilities hold FDA licenses, along with GHA and KMFDS certifications. Under the FDA licenses, ADMA BioCenters may collect normal source plasma and high-titer RSV plasma, with a portion of the plasma being sold to third-party buyers. We also plan to grow through the creation and licensing of additional ADMA BioCenters facilities in various regions of the U.S., including the recent construction of our third facility for which we filed our BLA with the FDA in December 2017. Additional ADMA BioCenters may allow us to cost-effectively secure additional plasma for our product manufacturing, and potentially increase revenues through the collection and sale of normal source plasma and other hyperimmune plasma to third parties.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Plasma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Primary Immunodeficiency Disease</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PIDD is a class of hereditary disorders characterized by defects in the immune system, due to either a lack of necessary antibodies or a failure of these antibodies to function properly. According to the World Health Organization, there are over 150 different presentations of PIDD. As patients suffering from PIDD lack a properly functioning immune system, they typically receive monthly, outpatient infusions of IVIG therapy. Without this exogenous antibody immune support, these patients would be susceptible to a wide variety of infectious diseases. PIDD has an estimated prevalence of 1:1,200 in the U.S., or approximately 250,000 people. Of these 250,000 people diagnosed with PIDD in the U.S., approximately 125,000 receive monthly infusions of IVIG and it is estimated that over 300,000 patients worldwide receive monthly IVIG infusions for PIDD.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 w:name="page12"/>
    <w:bookmarkEnd w:id="11"/>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most patients with PIDD present with infections, the differential diagnosis and initial investigations for an underlying immune defect are typically guided by the clinical presentation. In subjects with PIDD, individual infections are not necessarily more severe than those that occur in a normal host. Rather, the clinical features suggestive of an immune defect may be the recurring and/or chronic nature of infections with common pathogens that may result in end organ damage, such as bronchiectasis. In addition, subjects with PIDD will often respond poorly to standard antimicrobial therapy or they may have repeated infections with the same pathogen. The virulence of the infecting organism should also be considered, and a subject’s immune competence should be questioned when invasive infections are caused by low virulence or opportunistic pathogens. For example, infection with the opportunistic pathogens Pneumocystis jiroveci (previously Pneumocystis carinii) or atypical mycobacteria should prompt an investigation for underlying immunodeficiency. Typical clinical presentations for subjects with PIDD are:</w:t>
      </w:r>
    </w:p>
    <w:p>
      <w:pPr>
        <w:spacing w:after="0" w:line="18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antibody deficiency and recurrent bacterial infections;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T-lymphocyte deficiency and opportunistic infections;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lymphocyte defects causing opportunistic infections;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neutrophil defects causing immunodeficiency;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complement deficiencies.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PIDD can present at any age from birth to adulthood, posing a considerable challenge for the practicing physician to know when and how to evaluate a subject for a possible immune defect. Subjects with marked antibody deficiencies are generally dependent on IVIG therapy for survival. Benefits of adequate IVIG therapy in subjects not able to produce antibodies normally include a reduction of the severity and frequency of infections, prevention of chronic lung disease and prevention of enteroviral meningoencephalitis. Several immune globulin products have already been approved by the FDA.</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RI-002, our IVIG product candidate, contains polyclonal antibodies against various infectious agents, such as streptococcus pneumoniae, H. influenza type B, CMV, measles and tetanus, including standardized antibodies against RSV. RSV is a common respiratory virus that often presents during the winter months. Nearly all children will have been infected with RSV by three years of age; however, the immune systems of most healthy children prevent significant morbidity and mortality. Conversely, in patients who are immune-compromised, such as those with PIDD or who have undergone a hematopoietic stem cell or solid organ transplant and may be on immunosuppressive drugs or chemotherapy, RSV infection can be associated with significant morbidity and mortality. Immune-compromised patients historically have a 5% to 15% rate of RSV infection, and, if left untreated, lower respiratory tract RSV infections in immune-compromised patients can result in a mortality rate of up to 40% of infected patients. In hematopoietic stem cell transplant (“HSCT”) patients, a subset of the immune-compromised patient population with approximately 25,000 transplants being performed annually in the U.S., it is estimated that about 25% of patients treated with the current standard of care (aerosolized Ribavirin) will progress to Lower Respiratory Tract Infection (“LRTI”) while 41% of patients untreated with the current standard of care will progress to LRTI.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Plasma - Background, Composition and Manufacturing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Human blood contains a number of components including:</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 blood cells – Used to carry oxygen from the lungs to the body;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blood cells – Used by the immune system to fight infection;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Platelets – Used for blood clotting;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 – Used to carry the aforementioned components throughout the body and provide support in clotting and immunity.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 w:name="page13"/>
    <w:bookmarkEnd w:id="12"/>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Plasma is the most abundant blood component, representing approximately 55% of total blood volume. Plasma, which is 90% water, is rich in proteins used by the human body for blood clotting and fighting infection. These proteins account for approximately 7% of plasma’s volume. As plasma contains these valuable proteins, plasma collection and the manufacturing of human plasma-derived therapeutics provide therapeutic benefits for ill patients.</w:t>
      </w:r>
    </w:p>
    <w:p>
      <w:pPr>
        <w:spacing w:after="0" w:line="176"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In order to produce plasma-derived therapeutics that can be administered to ill patients, raw material plasma must be collected from human donors and then manufactured into specialized products. Plasma is collected from healthy donors at FDA-licensed plasma donation centers. To ensure safety of the collected plasma, all plasma donations are tested using FDA-approved methods of Nucleic Acid Testing for various infectious diseases, such as HIV or HCV.</w:t>
      </w:r>
    </w:p>
    <w:p>
      <w:pPr>
        <w:spacing w:after="0" w:line="15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Plasma is collected using a process called “plasmapheresis.” During plasmapheresis, a donor’s blood is drawn into a specialized medical device that separates the plasma component through centrifugation, and then returns the other blood components back into the donor’s bloodstream. Plasmapheresis is performed utilizing an FDA-approved, automated device with a sterile, self-contained collection kit. The plasma that is collected is known as “normal source plasma.” There are over 500 plasma donation centers in the U.S. As noted in a variety of plasma industry trade reports and related conferences, approximately 35 million liters of source plasma were collected in the U.S. in 2015. In the U.S., a donor may donate plasma a maximum of two times during any seven-day period, with at least two days in between donations. Plasma donation centers in the U.S. typically pay donors $25 to $50 per donation and some donors with rare or high antibody levels can be paid more.</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order to isolate the desired therapeutic elements in normal source plasma, it must initially undergo a manufacturing process known as “fractionation.” The process of fractionation was invented in the 1940’s by E.J. Cohn and is referred to as the Cohn method or cold ethanol fractionation. First, the source plasma undergoes a process called pooling, in which the individual plasma donations are combined into a pooling tank. Second, the Cohn fractionation method, which is a combination of time, temperature, pH, alcohol concentration and centrifugation, is used to separate the desired plasma protein components, or “fractions.” After fractionation, the separated proteins are then re-suspended and are treated with a solvent detergent treatment process for viral inactivation. Next, other forms of filtration, such as nanofiltration, are performed as an additional viral removal and viral reduction step. Finally, with the various components separated and purified, the bulk product is formulated and filled into final, finished vials. During these various steps of manufacturing, each lot is reviewed and tested for potency and purity prior to being approved for release.</w:t>
      </w:r>
    </w:p>
    <w:p>
      <w:pPr>
        <w:spacing w:after="0" w:line="18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proteins in human plasma fall into four categories: albumin (60% of protein volume), immune globulins (15% of protein volume), coagulation factors (1% of protein volume), and other proteins (24% of protein volume) such as alpha-1 proteinase inhibitor, C1 esterase inhibitor, fibrin sealants and fibrinogen. Many of the other proteins in plasma have yet to be developed into commercial therapies. In the U.S., not only are the plasma collection centers subject to FDA licensure, but each plasma protein product that is derived and fractionated from plasma must undergo an approval process with FDA’s Center for Biologics Evaluation and Research.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Immune Globulins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June 2008, the FDA published the FDA Guidance for Industry outlining the regulatory pathway for the approval of IVIG for the treatment of PIDD </w:t>
      </w:r>
      <w:r>
        <w:rPr>
          <w:rFonts w:ascii="Times New Roman" w:cs="Times New Roman" w:eastAsia="Times New Roman" w:hAnsi="Times New Roman"/>
          <w:sz w:val="18"/>
          <w:szCs w:val="18"/>
          <w:i w:val="1"/>
          <w:iCs w:val="1"/>
          <w:color w:val="auto"/>
        </w:rPr>
        <w:t>(Guidance for Industry: Safety, Efficacy, and Pharmacokinetic Studies to Support Marketing of Immune Globulin Intravenous (Human) as 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Therapy for Primary Humoral Immunodeficiency)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Immune globulins can be administered in three ways: intramuscularly, intravenously or subcutaneously. IVIG principally contains antibodies and, as such, provides passive immunization for individuals who are immune-deficient or who have been exposed to various infectious agents. IVIG is used therapeutically in a variety of immunological diseases/deficiencies, such as PIDD, idiopathic thrombocytopenic purpura, Guillain-Barré syndrome, Kawasaki disease, bone marrow transplant, and chronic inflammatory demyelinating polyneuropathy. We are aware that other companies are also evaluating IVIG in a clinical trial for the treatment of Alzheimer’s disease. Additionally, IVIG is also used as therapy in a variety of other diseases that do not involve primary or secondary immune deficiencies, such as multiple sclerosis, skin disease, and asthma. These latter uses are referred to as “off-label” or evidence-based uses because the FDA has not approved their use in these indications and promotion of such uses is not permitted by FDA unless a BLA or BLA supplement with additional data is approved. Among the various IVIG products, there are only 14 labeled indications approved by the FDA. However, medical literature identifies at least 150 evidence-based uses for IVIG, of which approximately 60 are currently included on lists of reimbursable uses by Medicare and other healthcare plans. This provides opportunities for new product development and submissions.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 w:name="page14"/>
    <w:bookmarkEnd w:id="13"/>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There are two types of immune globulins; standard and hyperimmune. The difference between standard immune globulins and hyperimmune globulins is that the latter are manufactured using plasma obtained from donors who have elevated amounts (high-titers) of specific antibodies. These high-titer products can be used to treat and prevent diseases that present those specific antigens that are reactive with the high-titer antibodies. Hyperimmune products currently available include Hepatitis B, tetanus, rabies, CMV and RhoD immune globulins.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2014, the worldwide market for plasma-derived therapeutic drug products was approximately $15 billion and the U.S. market for all plasma-derived products was approximately $7.8 billion. IVIG products accounted for approximately $4.8 billion of sales in the U.S. in 2014. IVIG products are used to treat primary immune deficiencies, certain autoimmune diseases, and other illnesses for immune-compromised patients and certain neuropathy indications. New research and data, additional labeled indications, an aging population and emerging countries with new markets are all adding to the worldwide growth of IVIG utilization.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order to produce plasma-derived therapeutics that can be administered to patients, raw material plasma is collected from healthy donors at plasma collection facilities licensed by the FDA. ADMA BioCenters operates FDA-licensed, GHA and KMFDS certified source plasma collection facilities located in the U.S. which provide us with a portion of our blood plasma for the manufacture of our current products and product candidates.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for the manufacture of our current products and product candidates is sold to third-party customers in the U.S., and other locations where we are approved globally under supply agreements or in the open "spot" market.</w:t>
      </w:r>
    </w:p>
    <w:p>
      <w:pPr>
        <w:spacing w:after="0" w:line="189"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17"/>
          <w:szCs w:val="17"/>
          <w:color w:val="auto"/>
        </w:rPr>
        <w:t>On June 6, 2017, we and BPC entered into a Termination Agreement with respect to the Manufacturing Supply and License Agreement and Master Services Agreement, which included, effective as of January 21, 2017, a mutual release with respect to any claims relating to or arising from any breach or default under the existing Manufacturing Supply and License Agreement and Master Services Agreement between ADMA BioManufacturing and BPC. Under our Manufacturing, Supply and License Agreement with BPC, we had agreed to purchase exclusively from BPC our worldwide requirements of RSV immune globulin manufactured from human plasma containing RSV antibodies. The term of the agreement was for a period of ten years from January 1, 2013, renewable for two additional five year periods at the agreement of both parties. We were obligated under this agreement to purchase a minimum of at least one lot of product during each calendar year after the finished product is approved by the FDA. This number was subject to increase at our option. As consideration for BPC’s obligations under the agreement, we were obligated to pay a dollar amount per lot of RSV immune globulin manufactured from human plasma containing RSV antibodies, as well as a percentage royalty on the sales thereof and of RI-002, up to a specified cumulative maximum amount.</w:t>
      </w:r>
    </w:p>
    <w:p>
      <w:pPr>
        <w:spacing w:after="0" w:line="174"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7"/>
          <w:szCs w:val="17"/>
          <w:color w:val="auto"/>
        </w:rPr>
        <w:t>Pursuant to the terms of a Plasma Purchase Agreement with BPC, we have agreed to purchase from BPC an annual minimum volume of source plasma containing antibodies to RSV to be used in the manufacture of RI-002. We must purchase a to-be-determined and agreed upon annual minimum volume from BPC, but may also collect high-titer RSV plasma from up to five wholly-owned ADMA BioCenters. During 2015, BPC and ADMA amended its plasma supply agreement to allow ADMA the ability to collect its raw material RSV high-titer plasma from other third-party collection organizations, thus allowing ADMA to expand its reach for raw material supply as we approach commercialization for RI-002. Unless terminated earlier, the agreement expires in November 2021, after which it may be renewed for two additional five-year periods if agreed to by the parties. Either party may terminate the agreement if the other party fails to remedy any material default in the performance of any material condition or obligation under the agreement following notice. Either party may also terminate the agreement, after providing written notice, if a proceeding under any bankruptcy, reorganization, arrangement of debts, insolvency or receivership law is filed by or against the other party, and is not dismissed or stayed, or a receiver or trustee is appointed for all or a substantial portion of the assets of the other party, or the other party makes an assignment for the benefit of its creditors or becomes insolvent. We may also terminate the agreement upon written notice if the clinical development of our product candidate is halted or terminated, whether by the FDA, a Data Safety Monitoring Board, or any other regulatory authority. Upon termination of the agreement, we must pay for any source plasma already delivered to us and for any source plasma collected under the terms of the agreement. As part of the closing of the Biotest Transaction, we amended the Plasma Purchase Agreement to extend BPC’s annual minimum purchase requirements of plasma containing antibodies to RSV for ten years through the closing date of the Biotest Transaction.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4" w:name="page15"/>
    <w:bookmarkEnd w:id="14"/>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June 22, 2012, we entered into a Plasma Supply Agreement with BPC for the purchase of normal source plasma from ADMA BioCenters’ Norcross facility to be used in BPC's proprietary products’ manufacturing, which was subsequently amended on February 25, 2014 and then amended and restated on March 23, 2016. After the initial term, the agreement may be renewed on an annual basis upon the mutual consent of the parties. In addition to any other remedy it may have, either party has the right to terminate the agreement if the other party fails to remedy any material default in the performance of a material condition or obligation under the agreement following written notice. In addition, upon giving the appropriate written notice, either party may terminate the agreement upon the occurrence of any of the following events: a proceeding under bankruptcy, reorganization, agreement of debts, insolvency or receivership law is filed by or against the other party, and is not dismissed or stayed, or a receiver or trustee is appointed for all or a substantial portion of the assets of the other party, or the other party makes an assignment for the benefit of its creditors or becomes insolvent. Neither party can assign the agreement or any of its rights or obligations thereunder without the express written consent of the other party. However, with notice to the other party, either party without the other party’s consent may assign the agreement to (i) its affiliate, or (ii) a successor to all or substantially all of the assets related to the business of that party which is involved in the fulfillment of its obligations under the agreement. Under the agreement, BPC applied to the GHA for, and we have subsequently obtained, GHA certification.</w:t>
      </w:r>
    </w:p>
    <w:p>
      <w:pPr>
        <w:spacing w:after="0" w:line="19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June 7, 2012, we entered into a Testing Services Agreement with Quest Diagnostics Clinical Laboratories, Inc. (“Quest”) in which Quest agreed to provide biomarker testing and related support services for protocol screening and recertification which are exclusive to us. All data, test results, studies and other information generated by Quest in performing services under the agreement is our sole property, and either party can terminate the agreement without cause upon written notice. Neither party can assign the agreement or any of its right or obligations under the agreement without the express written consent of the other party, except under specified circumstances. Quest agreed and acknowledged that we paid for the development and validation of the testing assay and as such, the assay is our sole property and shall only be utilized for our benefit.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Sales and Market Research</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We intend to market and sell our product through our specialty sales force, distribution relationships and other customary industry methods. We will focus our efforts specifically on the easily identifiable treatment centers which specialize in the care and management of immune compromised individuals. We estimate that there are approximately 500 leading specialty programs in the U.S. which have significant patient populations for PIDD, suitable for treatment with RI-002. We plan to hire our own specialty sales force which will consist of account managers, medical science liaisons and other normal and customary scientific, medical and detail representatives. Our management and Board has substantial prior direct marketing, sales and distribution experience with plasma derived drugs, specialty immune globulins and other biological products. We also anticipate staffing the company with additional personnel for patient support, medical affairs, quality assurance, regulatory affairs, scientific affairs, third-party reimbursement, supply chain and logistics, human resources, financial and other operational management positions. As is normal and customary in the plasma products industry, we may also use a network of national distribution organizations that have specialty divisions that focus on plasma products to fulfill orders for RI-002. We anticipate that due to certain recent events, including our Biotest Transaction, our current and anticipated plans and intentions will evolve and change. See “Special Note Regarding Forward-Looking Statements.”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 w:name="page16"/>
    <w:bookmarkEnd w:id="15"/>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On June 6, 2017, we and BPC entered into a Termination Agreement with respect to the Manufacturing Supply and License Agreement and Master Services Agreement, which included, effective as of January 21, 2017, a mutual release with respect to any claims related to or arising from any breach or default under the existing Manufacturing Supply and License Agreement and Master Services Agreement between ADMA BioManufacturing and BPC. Pursuant to our Manufacturing, Supply and License Agreement, we granted Biotest an exclusive license to market and sell RI-002 in Europe and in selected countries in North Africa and the Middle East (the ““Territory”), to have access to our testing services for testing of BPC’s plasma samples using our proprietary RSV assay, and to reference (but not access) our proprietary information for the purpose of Biotest seeking regulatory approval for the RI-002 in the Territory. As consideration for the license, Biotest provided us with certain services at no charge and also compensated us with cash payments upon the completion of certain milestones. Biotest was also obligated to pay us an adjustable royalty based on a percentage of revenues from the sale of RI-002 in the Territory for 20 years from the date of first commercial sale.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Although blood plasma and its derivative proteins are not subject to patent protection, the FDA recognizes each immune globulin product as unique and generally requires a separate Investigational New Drug (“IND”) clinical trial and BLA for each as a condition to approval. Regardless of whether competitors are able to develop an assay that can achieve our level of consistency and reproducibility in providing RSV antibody titer data, we believe they would still be required to validate and qualify such an assay as well as conduct clinical trials and undergo an FDA review prior to marketing an immune globulin product. The plasma products industry is highly competitive. We face, and will continue to face, intense competition from both U.S.-based and foreign producers of plasma products, some of which have lower cost structures, greater access to capital, greater resources for research and development, and sophisticated marketing capabilities.</w:t>
      </w:r>
    </w:p>
    <w:p>
      <w:pPr>
        <w:spacing w:after="0" w:line="18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These competitors may include: CSL Behring, Grifols Biologicals, Shire, Octapharma and Kedrion. In addition to competition from other large worldwide plasma products providers, we face competition in local areas from smaller entities. In Europe, where the industry is highly regulated and health care systems vary from country to country, local companies may have greater knowledge of local health care systems, more established infrastructures and have existing regulatory approvals or a better understanding of the local regulatory process, allowing them to market their products more quickly. Moreover, plasma therapy generally faces competition from non-plasma products and other courses of treatments. For example, recombinant Factor VIII products compete with plasma-derived products in the treatment of Hemophilia 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During the second quarter of 2015, U.S. Pat. App. Serial No. 14/592,721, entitled ‘Compositions and Methods for the Treatment of Immunodeficiency’, encompassing our RI-002 product, was allowed and issued August 18, 2015 as U.S. Patent No. 9,107,906. The ‘906 patent has a term at least through January 2035 and covers compositions comprising pooled plasma, as well as immunoglobulin prepared therefrom, that contains a standardized, elevated titer of RSV neutralizing antibodies as well as elevated levels of antibodies specific for one or more other respiratory pathogens, as well as methods of making and using the compositions. Our proprietary methods allow us to effectively identify and isolate donor plasma with high-titer RSV neutralizing antibodies and to standardize RI-002’s antibody profile, which we believe may enable us to garner a premium price.</w:t>
      </w:r>
    </w:p>
    <w:p>
      <w:pPr>
        <w:spacing w:after="0" w:line="18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third quarter of 2017, U.S. Pat. App. Serial No. 14/790,872, entitled ‘Compositions and Methods for the Treatment of Immunodeficiency’, encompassing immunotherapeutic methods of using immune globulin compositions proprietary to ADMA, was allowed and issued July 25, 2017 as U.S. Patent No. 9,714,283. The ‘283 patent has a term at least through January 2035.</w:t>
      </w:r>
    </w:p>
    <w:p>
      <w:pPr>
        <w:spacing w:after="0" w:line="17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November 2017, U.S. Pat. App. Serial No. 14/592,727, related to immune globulin compositions containing elevated, neutralizing antibody titers to RSV, as well as elevated antibody titers to other respiratory pathogens, was allowed and issued as U.S. Patent No. 9,815,886. The term of the issued patent extends to January 2035.</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6" w:name="page17"/>
    <w:bookmarkEnd w:id="16"/>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also rely on a combination of patents, trademarks, trade secrets and nondisclosure and non-competition agreements to protect our proprietary intellectual property and will continue to do so. We also seek to enhance and ensure our competitive position through a variety of means, including our unique and proprietary plasma donor selection criteria, our proprietary formulation methodology for plasma pooling and the proprietary reagents, controls, testing standards, standard operating procedures and methods we use in our anti-RSV microneutralization assay. While we intend to defend against threats to our intellectual property, litigation can be costly and there can be no assurance that our patent will be enforced or that our trade secret policies and practices or other agreements will adequately protect our intellectual property. We seek to preserve the integrity and confidentiality of our data and trade secrets by maintaining physical security of our premises and physical and electronic security of our information technology systems. These processes, systems, and/or security measures may be breached, and we may not have adequate remedies as a result of any such breaches. Third parties may also own or could obtain patents that may require us to negotiate licenses to conduct our business, and there can be no assurance that the required licenses would be available on reasonable terms or at all.</w:t>
      </w:r>
    </w:p>
    <w:p>
      <w:pPr>
        <w:spacing w:after="0" w:line="18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our trade secrets may otherwise become known or be independently discovered by competitors. We also seek to protect our proprietary technology and processes, in part, by confidentiality agreements with our employees, consultants, scientific advisors and contractors. Although we rely, in part, on confidentiality, nondisclosure and non-competition agreements with employees, consultants and other parties with access to our proprietary information to protect our trade secrets, proprietary technology, processes and other proprietary rights, there can be no assurance that these agreements or any other security measures related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 We have filed for other provisional patent applications with the U.S. which are pending related to expanded hyperimmune globulin products.</w:t>
      </w:r>
    </w:p>
    <w:p>
      <w:pPr>
        <w:spacing w:after="0" w:line="187"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currently hold multiple trademarks, including </w:t>
      </w:r>
      <w:r>
        <w:rPr>
          <w:rFonts w:ascii="Times New Roman" w:cs="Times New Roman" w:eastAsia="Times New Roman" w:hAnsi="Times New Roman"/>
          <w:sz w:val="18"/>
          <w:szCs w:val="18"/>
          <w:i w:val="1"/>
          <w:iCs w:val="1"/>
          <w:color w:val="auto"/>
        </w:rPr>
        <w:t>Bivigam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Nabi-HB</w:t>
      </w:r>
      <w:r>
        <w:rPr>
          <w:rFonts w:ascii="Times New Roman" w:cs="Times New Roman" w:eastAsia="Times New Roman" w:hAnsi="Times New Roman"/>
          <w:sz w:val="18"/>
          <w:szCs w:val="18"/>
          <w:color w:val="auto"/>
        </w:rPr>
        <w:t>. We have spent considerable resources registering the trademarks and building brand awareness and equity of the ADMA Biologics trade name, which has been used in commerce since 2006. We expect to maintain and defend our various trademarks to the fullest extent possible.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Product Approval</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FDA and comparable regulatory agencies in state and local jurisdictions and in foreign countries impose substantial requirements upon, among other things, the testing (preclinical and clinical), manufacturing, labeling, storage, recordkeeping, advertising, promotion, import, export, marketing and distribution of products and product candidates. If we do not comply with applicable requirements, we may be fined, the government may refuse to approve our marketing applications or allow us to manufacture or market our products and we may be criminally prosecuted. We and our manufacturers may also be subject to regulations under other federal, state and local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Government Regulation</w:t>
      </w:r>
    </w:p>
    <w:p>
      <w:pPr>
        <w:spacing w:after="0" w:line="229" w:lineRule="exact"/>
        <w:rPr>
          <w:sz w:val="20"/>
          <w:szCs w:val="20"/>
          <w:color w:val="auto"/>
        </w:rPr>
      </w:pPr>
    </w:p>
    <w:p>
      <w:pPr>
        <w:jc w:val="both"/>
        <w:ind w:right="220" w:firstLine="648"/>
        <w:spacing w:after="0" w:line="270" w:lineRule="auto"/>
        <w:rPr>
          <w:sz w:val="20"/>
          <w:szCs w:val="20"/>
          <w:color w:val="auto"/>
        </w:rPr>
      </w:pPr>
      <w:r>
        <w:rPr>
          <w:rFonts w:ascii="Times New Roman" w:cs="Times New Roman" w:eastAsia="Times New Roman" w:hAnsi="Times New Roman"/>
          <w:sz w:val="17"/>
          <w:szCs w:val="17"/>
          <w:color w:val="auto"/>
        </w:rPr>
        <w:t>In the U.S., the FDA regulates products under the Federal Food, Drug, and Cosmetic Act (the “FDCA”) and related regulations. Our current and anticipated future product candidates are considered “biologics” under the FDA regulatory framework. The FDA's regulatory authority for the approval of biologics resides in the Public Health Service Act. However, biologics are also subject to regulation under the FDCA because most biological products also meet the FDCA’s definition of "drugs." Most pharmaceuticals or “conventional drugs” consist of pure chemical substances and their structures are known.</w:t>
      </w:r>
    </w:p>
    <w:p>
      <w:pPr>
        <w:spacing w:after="0" w:line="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Most biologics, however, are complex mixtures that are not easily identified or characterized. Biological products differ from conventional drugs in that they tend to be heat-sensitive and susceptible to microbial contamination. This requires sterile processes to be applied from initial manufacturing steps. The process required by the FDA before our product candidates may be marketed in the U.S. generally involves the following (although the FDA is given wide discretion to impose different or more stringent requirements on a case-by-case basis):</w:t>
      </w:r>
    </w:p>
    <w:p>
      <w:pPr>
        <w:spacing w:after="0" w:line="186" w:lineRule="exact"/>
        <w:rPr>
          <w:sz w:val="20"/>
          <w:szCs w:val="20"/>
          <w:color w:val="auto"/>
        </w:rPr>
      </w:pPr>
    </w:p>
    <w:p>
      <w:pPr>
        <w:ind w:left="660" w:right="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tests, preclinical animal studies and formulation studies performed in accordance with the FDA’s good laboratory practice regulations and other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clinical trials may begin;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 w:name="page18"/>
    <w:bookmarkEnd w:id="17"/>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right="2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meeting FDA requirements to establish the safety and efficacy of the product candidate for each proposed indication;</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(through an FDA-licensed contract manufacturing organization) of product in accordance with cGMP to be used in the clinical trials and providing manufacturing information need in regulatory filings;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 BLA to the FDA;</w:t>
      </w:r>
    </w:p>
    <w:p>
      <w:pPr>
        <w:spacing w:after="0" w:line="225"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facilities at which the product candidate is produced, and potentially other involved facilities as well, to assess compliance with cGMP regulations and other applicable regulations;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review and approval of a BLA prior to any commercial marketing, sale or shipment of the product.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we cannot be certain that any approvals for our product candidates will be granted on a timely basis, if at all. See “Item 1A Risk Factors” appearing elsewhere in this Annual Report.</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submit manufacturing and analytical data, among other information, to the FDA as part of an IND application. Subject to certain exceptions, an IND becomes effective 30 days after receipt by the FDA, unless the FDA, within the 30-day time period, issues a clinical hold to delay a proposed clinical investigation due to concerns or questions about the product or the conduct of the clinical trial, including concerns that human research subjects will be exposed to unreasonable health risks. In such a case, the IND sponsor and the FDA must resolve any outstanding concerns before the clinical trial can begin. Our submission of an IND, or those of our collaboration partners, may not result in the FDA allowance to commence a clinical trial. A separate submission to an existing IND must also be made for each successive clinical trial conducted during product development. The FDA must also approve certain changes to an existing IND, such as certain manufacturing changes. Further, an independent institutional review board (“IRB”) duly constituted to meet FDA requirements for each medical center proposing to conduct the clinical trial must review and approve the plan for any clinical trial before it commences at that center and it must monitor the safety of the study and study subjects until completed. The FDA, the IRB or the sponsor may suspend a clinical trial at any time on various grounds, including a finding that the subjects or patients are being exposed to an unacceptable health risk. Clinical testing also must satisfy extensive Good Clinical Practice requirements and regulations for informed consent.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Clinical Trials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For purposes of BLA submission and approval, clinical trials are typically conducted in the following three sequential phases, which may overlap (although additional or different trials may be required by the FDA as well):</w:t>
      </w:r>
    </w:p>
    <w:p>
      <w:pPr>
        <w:spacing w:after="0" w:line="162" w:lineRule="exact"/>
        <w:rPr>
          <w:sz w:val="20"/>
          <w:szCs w:val="20"/>
          <w:color w:val="auto"/>
        </w:rPr>
      </w:pPr>
    </w:p>
    <w:p>
      <w:pPr>
        <w:ind w:left="660" w:right="1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 clinical trials are initially conducted in a limited population to test the product candidate for safety, dose tolerance, absorption, metabolism, distribution and excretion in healthy humans or, on occasion, in patients, such as cancer patients.</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 clinical trials are generally conducted in a limited patient population to identify possible adverse effects and safety risks, to determine the efficacy of the product candidate for specific targeted indications and to determine tolerance and optimal dosage. Multiple Phase II clinical trials may be conducted by the sponsor to obtain information prior to beginning larger and more expensive Phase III clinical trials.</w:t>
      </w:r>
    </w:p>
    <w:p>
      <w:pPr>
        <w:spacing w:after="0" w:line="176"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Phase III clinical trials are referred to as pivotal trials. When Phase II clinical trials demonstrate that a dose range of the product candidate is effective and has an acceptable safety profile, Phase III clinical trials are undertaken in large patient populations to provide substantial evidence of reproducibility of clinical efficacy results and to further test for safety in an expanded and diverse patient population at multiple, geographically dispersed clinical trial sites.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8" w:name="page19"/>
    <w:bookmarkEnd w:id="18"/>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In addition, under the Pediatric Research Equity Act of 2003, a BLA application or supplement for a new active ingredient, new indication, new dosage form, new dosing regimen, or new route of administration must contain data that is adequate to assess the safety and effectiveness of the drug for the claimed indications in all relevant pediatric subpopulations, and to support dosing and administration for each pediatric subpopulation for which the product is safe and effective, unless the applicant has obtained a waiver or deferral. In 2012, the Food and Drug Administration Safety and Innovation Act amended the FDCA to require that a sponsor who is planning to submit such an application submit an initial Pediatric Study Plan (“PSP”) within sixty days of an end-of-phase 2 meeting or as may be agreed between the sponsor and the FDA. The FDA may, on its own initiative or at the request of the applicant, grant deferrals for submission of data or full or partial waivers. The FDA and the sponsor must reach agreement on the PSP.</w:t>
      </w:r>
    </w:p>
    <w:p>
      <w:pPr>
        <w:spacing w:after="0" w:line="18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In some cases, the FDA may condition continued approval of a BLA on the sponsor’s agreement to conduct additional clinical trials, or other commitments. Such post-approval studies are typically referred to as Phase IV studies.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Biological License Application</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results of product candidate development, preclinical testing and clinical trials, together with, among other things, detailed information on the manufacture and composition of the product and proposed labeling, and the payment of a user fee, are submitted to the FDA as part of a BLA. The FDA reviews all BLAs submitted before it accepts them for filing and may reject the filing as inadequate to merit review or may request additional information to be submitted in a very short time frame before accepting a BLA for filing. Once a BLA is accepted for filing, the FDA begins an in-depth review of the application.</w:t>
      </w:r>
    </w:p>
    <w:p>
      <w:pPr>
        <w:spacing w:after="0" w:line="18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During its review of a BLA, the FDA may refer the application to an advisory committee of experts for their review, evaluation and recommendation as to whether the application should be approved, which information is taken into consideration along with the FDA’s own review findings. The FDA may refuse to approve a BLA and issue a CRL if the applicable regulatory criteria are not satisfied. A CRL may also require additional clinical or other data, including one or more additional pivotal Phase III clinical trials. Even if such requested data are submitted, the FDA may ultimately decide that the BLA does not satisfy the criteria for approval and issue a denial of the BLA. Data from clinical trials are not always conclusive and the FDA may interpret data differently than we do. If the FDA’s evaluations of the BLA and the clinical and manufacturing procedures and facilities are favorable, the FDA may issue an approval letter or a CRL, which contains the conditions that must be met in order to secure final approval of the BLA. If a CRL is issued, a company has up to twelve months to resubmit or withdraw the BLA, unless the FDA allows for an extension, of which ADMA has requested. If a CRL is issued, if and when those items have been resolved to the FDA’s satisfaction, the FDA will issue an approval letter, authorizing commercial marketing of the product for certain indications. The FDA may withdraw product approval if ongoing regulatory requirements are not met or if safety problems occur after the product reaches the market. In addition, the FDA may require testing, including Phase IV clinical trials, and surveillance programs to monitor the effect of approved products that have been commercialized, and the FDA has the power to prevent or limit further marketing of a product based on the results of these post-marketing programs. Products may be marketed only for the FDA-approved indications and in accordance with the FDA-approved label. The FDA generally does not allow drugs to be promoted for “off-label” uses – that is, uses that are not described in the product’s approved labeling and that differ from those that were approved by the FDA. Furthermore, the FDA generally limits approved uses to those studied in clinical trials. If there are any modifications to the product, including changes in indications, other labeling changes, or manufacturing processes or facilities, we may be required to submit and obtain FDA approval of a new BLA or BLA supplement, which may require us to develop additional data or conduct additional preclinical studies and clinical trials, and/or require additional manufacturing data.</w:t>
      </w:r>
    </w:p>
    <w:p>
      <w:pPr>
        <w:spacing w:after="0" w:line="1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Satisfaction of the FDA regulations and approval requirements or similar requirements of foreign regulatory agencies typically takes several years, and the actual time required may vary substantially based upon the type, complexity and novelty of the product or disease. Typically, if a product candidate is intended to treat a chronic disease, as is the case with RI-002, safety and efficacy data must be gathered over an extended period of time. Government regulation may delay or prevent marketing of product candidates for a considerable period of time and impose costly procedures upon our activities. The FDA or any other regulatory agency may not grant approvals for changes in dose form or new indications for a product candidate on a timely basis, or at all. Even if a product candidate receives regulatory approval, the approval may be significantly limited to specific disease states, patient populations and dosages. Further, even after regulatory approval is obtained, later discovery of previously unknown problems with a product may result in restrictions on the product or even complete withdrawal of the product from the market. Delays in obtaining, or failures to obtain, regulatory approvals for any of our product candidates would harm our business. In addition, we cannot predict what adverse governmental regulations may arise from future U.S. or foreign governmental action.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9" w:name="page20"/>
    <w:bookmarkEnd w:id="19"/>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Upon the resubmission of a BLA application, the FDA will classify the resubmission as Class 1 (triggering a 2-month review goal for the FDA) or Class 2 (triggering a 6-month review goal for the FDA).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Regulatory Requirements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Biological drug products manufactured or distributed pursuant to FDA approvals are subject to extensive and continuing regulation by the FDA, including, among other things, requirements related to recordkeeping (including certain electronic record and signature requirements), periodic reporting, product sampling and distribution, advertising and promotion and reporting of certain adverse experiences, deviations, and other problems with the product. After approval, most changes to the approved product, such as adding new indications or other labeling claims, are subject to prior FDA review and approval. There also are annual user fee requirements for any marketed products and the establishments at which such products are manufactured, as well as new application fees for supplemental applications with clinical data.</w:t>
      </w:r>
    </w:p>
    <w:p>
      <w:pPr>
        <w:spacing w:after="0" w:line="188"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Manufacturers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80" w:lineRule="exact"/>
        <w:rPr>
          <w:sz w:val="20"/>
          <w:szCs w:val="20"/>
          <w:color w:val="auto"/>
        </w:rPr>
      </w:pPr>
    </w:p>
    <w:p>
      <w:pPr>
        <w:ind w:right="400" w:firstLine="648"/>
        <w:spacing w:after="0" w:line="256" w:lineRule="auto"/>
        <w:rPr>
          <w:sz w:val="20"/>
          <w:szCs w:val="20"/>
          <w:color w:val="auto"/>
        </w:rPr>
      </w:pPr>
      <w:r>
        <w:rPr>
          <w:rFonts w:ascii="Times New Roman" w:cs="Times New Roman" w:eastAsia="Times New Roman" w:hAnsi="Times New Roman"/>
          <w:sz w:val="18"/>
          <w:szCs w:val="18"/>
          <w:color w:val="auto"/>
        </w:rPr>
        <w:t>Manufacturers and certain other entities involved in the manufacturing and distribution of approved products are required to register their establishments with the FDA and certain state agencies, and are subject to periodic unannounced inspections by the FDA and certain state agencies for compliance with cGMP and other laws. The cGMP requirements apply to all stages of the manufacturing process, including the production, processing, sterilization, packaging, labeling, storage and shipment of the product. Manufacturers must establish validated systems to ensure that products meet specifications and regulatory standards, and test each product batch or lot prior to its release. For biologics products in particular, for each product lot the applicant must submit materials related to that lot to the FDA before the lot can be released for distribution.</w:t>
      </w:r>
    </w:p>
    <w:p>
      <w:pPr>
        <w:spacing w:after="0" w:line="18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application. The FDA may withdraw a product approval if compliance with regulatory requirements is not maintained or if problems occur after the product reaches the market. Later discovery of previously unknown problems with a product, including adverse events of unanticipated severity or frequency, problems with manufacturing processes or failure to comply with regulatory requirements, may result in restrictions on the product or even complete withdrawal of the product from the market. Failure to comply with the statutory and regulatory requirements can subject a manufacturer to possible legal or regulatory action, such as warning letters, suspension of manufacturing, sales or use, seizure of product, injunctive action or possible fines and other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halt our clinical trials, require us to recall a product from distribution, or withdraw approval of our BLA for that product.</w:t>
      </w:r>
    </w:p>
    <w:p>
      <w:pPr>
        <w:spacing w:after="0" w:line="18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FDA closely regulates the post-approval marketing and promotion of products,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and/or other regulatory letters, corrective advertising and potential major fines and other penalties.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0" w:name="page21"/>
    <w:bookmarkEnd w:id="20"/>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drug products (including biological drug products) is subject to the Prescription Drug Marketing Act (the “PDMA”), which regulates the distribution of drugs and drug samples at the federal level, and sets minimum standards for the registration and regulation of drug distributors by the states. Both the PDMA and state laws limit the distribution of prescription product samples and impose requirements to ensure accountability in distribution.</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approval, manufacturing and marketing of products regulated by the FDA. In addition to new legislation, FDA regulations, guidance, and policies are often revised or reinterpreted by the agency in ways that may significantly affect our business and our product candidates. It is impossible to predict whether further legislative or FDA regulation or policy changes will be enacted or implemented and what the impact of such changes, if any, may be.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Regulation of ADMA BioCenters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All blood and blood product collection and manufacturing centers which engage in interstate commerce must be licensed by the FDA. In order to achieve licensure, the organization must submit a BLA and undergo pre-licensure inspection. ADMA BioCenters has completed these requirements and holds FDA licenses, along with GHA and KMFDS certifications, for its Norcross, GA and Marietta, GA facilities. In order to maintain these licenses, the facilities operated by ADMA BioCenters will be inspected at least every two years. ADMA BioCenters is also required to submit annual reports to the FDA.</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Blood plasma collection and manufacturing centers are also subject to the Clinical Laboratory Improvement Amendments, state licensure and compliance with industry standards such as the International Quality Plasma Program. Compliance with state and industry standards is verified by means of routine inspection. We believe that both of our ADMA BioCenters facilities are currently in compliance with state and industry standards. Delays in obtaining, or failures to maintain, regulatory approvals for any facilities operated by ADMA BioCenters would harm our business. In addition, we cannot predict what adverse federal and state regulations and industry standards may arise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Foreign Regulation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U.S., if we choose to pursue clinical development and commercialization in the European Union, we will be subject to a variety of foreign regulations governing clinical trials and commercial sales and distribution of any future product.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8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Under European Union regulatory systems, marketing authorizations may be submitted either under a centralized or mutual recognition procedure. The centralized procedure provides for the grant of a single marketing authorization that is valid for all European Union member states. The mutual recognition procedure provides for mutual recognition of national approval decisions. Under this procedure, the holder of a national marketing authorization may submit an application to the remaining member states. Within 90 days of receiving the applications and assessment report, each member state must decide whether to recognize approval, refuse it or request additional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Coverage, Pricing and Reimbursement</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Significant uncertainties exist as to the coverage and reimbursement status of any products for which we may obtain regulatory approval. In the U.S., sales of any products for which we may receive regulatory approval for commercial sale will depend in part on the availability of coverage and reimbursement from third-party payers. Third-party payers include government authorities, managed care providers, private health insurers and other organizations. The process for determining whether a payer will provide coverage for a drug product may be separate from the process for setting the reimbursement rate that the payer will pay for the drug product. Third-party payers may limit coverage to specific drug products on an approved list, or formulary, which might not include all of the FDA-approved drugs for a particular indication. Moreover, a payer’s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1" w:name="page22"/>
    <w:bookmarkEnd w:id="21"/>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Third-party payers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product candidates may not be considered medically necessary or cost-effective. If third-party payers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88"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For example, the Healthcare Reform Law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government controls and measures, and tightening of restrictive policies in jurisdictions with existing controls and measures, could limit payments for pharmaceuticals.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marketability of any products for which we receive regulatory approval for commercial sale may suffer if the government and third-party payers fail to provide adequate coverage and reimbursement. In addition, an increasing emphasis on cost containment measures in the U.S.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ADMA’s expenditures on research and development were approximately $6.2 million and $7.7 million for the fiscal years ended December 31, 2017 and 2016,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2017, we had a total of 295 employees, comprised of 291 full-time employees and 4 part-time employees. Over the course of the next year, we anticipate hiring additional full-time employees devoted to sales and marketing, medical and scientific affairs, general and administrative, as well as hiring additional staff to the plasma collection centers as appropriate. We intend to use Clinical Research Organizations, or CROs, third parties and consultants to perform our clinical studies and manufacturing, regulatory affairs and quality control services in addition to corporate marketing, branding and commercialization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ADMA Biologics, Inc. was founded on June 24, 2004 as a New Jersey corporation and re-incorporated in Delaware on July 16, 2007. We operate through our wholly-owned subsidiaries ADMA Plasma Biologics, ADMA BioManufacturing and ADMA BioCenters. ADMA BioManufacturing was formed in January 2017 to facilitate the acquisition of BTBU. ADMA BioCenters is the Company’s source plasma collection business which operates in the U.S. Each operational ADMA BioCenter, once approved, will have a license with the FDA and may obtain additional certifications from other regulatory agencies such as the GHA and the KMFDS. ADMA BioCenters supplies ADMA with a portion of its raw material plasma for the manufacture of its products and product candidates.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2" w:name="page23"/>
    <w:bookmarkEnd w:id="22"/>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maintain our headquarters at 465 State Route 17, Ramsey, NJ 07446. Our telephone number is (201) 478-5552. Our Florida campus is located at 5800 Park of Commerce Boulevard, Northwest, Boca Raton, FL 33487. The Florida telephone number is (561) 989-5800. We maintain a website at www.admabiologics.com; however, the information on, or that can be accessed through, our website is not part of this Annual Report on Form 10-K. This Annual Report and all of our filings under the Securities Exchange Act of 1934, as amended (the “Exchange Act”), including copies of Annual Reports on Form 10-K, Quarterly Reports on Form 10-Q, Current Reports on Form 8-K, and any amendments to those reports, are available free of charge through our website on the date we file those materials with, or furnish them to, the U.S. Securities and Exchange Commission (the “SEC”). Such filings are also available to the public on the internet at the SEC's website at www.sec.gov. The public may also read and copy any document that we file at the SEC's Public Reference Room located at 100 F Street, NE, Washington, D.C. 20549 on official business days during the hours of 10 a.m. to 3 p.m. For further information on the Public Reference Room, the public is instructed to call the SEC at 1-800-SEC-0330.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To date, we have generated a substantial portion of our revenues from the sale of plasma by our plasma collections facilities. Following completion of the Biotest Transaction, we began generating revenues from the sale of Nabi-HB, and we recorded additional revenue in connection with a contract manufacturing agreement. Unless and until we receive approval from the FDA and other regulatory authorities for our RI-002 product candidate and other products and product candidates in our pipeline, we do not expect to sell and generate revenue from the commercialization of RI-002 and other products and product candidates in our pipeline, and we will be required to raise additional funds through the sale of our equity and/or debt securities in order to establish a commercial sales force, develop our commercial infrastructure and recognize any significant revenues.</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long-term liquidity will depend upon our ability to raise additional capital, fund our research and development and commercial programs, establish and build out a commercial sales force and commercial infrastructure and meet our ongoing obligations. If we are unable to successfully raise additional capital by the end of 2018, we will likely not have sufficient cash flow and liquidity to fund our business operations as we currently operate, forcing us to potentially curtail our activities and significantly reduce or cease operations.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Based upon our projected revenue and expenditures for fiscal 2018, including regulatory and consulting fees for the remediation of the Warning Letter and ongoing discussions with the FDA, continuing implementation of our commercialization and expansion activities and certain other assumptions, we currently believe that our cash, cash equivalents, projected revenue and accounts receivable, along with the additional $10.0 million we expect to be able to draw down through our existing senior credit facility (see “Management’s Discussion and Analysis of Financial Condition and Results of Operations”) will be sufficient to fund our operations, as currently conducted, through the end of 2018. In order to have sufficient cash to fund our operations thereafter and to continue as a going concern, we will need to raise additional equity or debt financing by the end of 2018. This timeframe may change based upon how quickly we are able to execute on our quality management systems’ remediation plans for the ADMA BioManufacturing operations, commercial manufacturing ramp-up activities and the various financing options we are exploring. These estimates may change based upon whether or when the FDA approves RI-002 or if any of our other assumptions change. We currently do not have arrangements to obtain additional financing. Any such financing could be difficult to obtain or only available on unattractive terms and could result in significant dilution to stockholders. Failure to secure necessary financing in a timely manner and on favorable terms could have a material adverse effect on our business plan and financial performance and could delay, discontinue or prevent product development, clinical trials, commercialization activities or the approval of any of our potential products. In addition, we could be forced to reduce or forgo sales and marketing efforts and forgo attractive business opportunities.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3" w:name="page24"/>
    <w:bookmarkEnd w:id="23"/>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timely and effectively remediate the outstanding Warning Letter and other inspection issues and deficiencies at the Boca Facility will have a material adverse effect on our business.</w:t>
      </w:r>
    </w:p>
    <w:p>
      <w:pPr>
        <w:spacing w:after="0" w:line="15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Prior to the closing of the Biotest Transaction, BTBU was our third-party manufacturer for RI-002. In response to our BLA submission in 2015, in July 2016 the FDA issued the CRL. The CRL did not specify or request the need for any addition clinical trials or data; however, the CRL reaffirmed the issues set forth in the Warning Letter issued to Biotest relating to inspection issues identified at the Boca Facility. The FDA identified in the CRL, among other things, certain outstanding inspection issues and deficiencies related to CMC and GMP at the Boca Facility and at certain of our third-party vendors, and requested documentation of corrections for a number of these issues. The FDA indicated in the CRL that it cannot grant final approval of our BLA until, among other things, these deficiencies are resolved. Following the completion of the Biotest Transaction, we now have control over the regulatory, quality, general operations and drug substance manufacturing process at the Boca Facility, and our highest priority is to remediate the outstanding compliance issues at the Boca Facility in the Warning Letter. We engaged a leading consulting firm with extensive experience in remediating compliance and inspection issues related to quality management systems that manages a robust team of subject matter experts in plasma derived products and biologic drugs to assist us in addressing all identified CMC and cGMP issues and deficiencies. We believe that we have been inspection-ready since the end of 2017 and expect to have the FDA inspection classification relative to the Warning Letter improved after the next inspection by the FDA. However, there can be no assurances that our efforts to remediate the Warning Letter and other inspection issues and deficiencies at the Boca Facility will be effective or whether the FDA will accept these efforts. Failure to timely remediate the issues identified in the Warning Letter and other inspection issues and deficiencies and/or receive approval from the FDA, as well as passing an FDA inspection within this timeline, if at all, will have a material adverse effect on our business, prospects,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not profitable and may never become profitable.</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 history of losses and expect to incur substantial losses and negative operating cash flow for the foreseeable future, and we may never achieve or maintain profitability. For the years ended December 31, 2017 and 2016, we incurred net losses of $43.8 and $19.5 million, respectively, and from our inception in 2004 through December 31, 2017, we have incurred an accumulated deficit of $150.7 million. Even if we succeed in developing and commercializing one or more of our product candidates, we expect to incur substantial losses for the foreseeable future and may never become profitable. We also expect to continue to incur significant operating and capital expenditures and anticipate that our operating expenses will increase substantially in the foreseeable future as we:</w:t>
      </w:r>
    </w:p>
    <w:p>
      <w:pPr>
        <w:spacing w:after="0" w:line="18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remediate the outstanding compliance deficiencies identified by the FDA in the CRL and Warning Letter at the Boca Facility;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commercialization and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controls and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build out our plasma center network;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integrate the Biotest Assets into our business.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4" w:name="page25"/>
    <w:bookmarkEnd w:id="24"/>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expect to experience negative cash flows for the foreseeable future as we fund our operating losses and capital expenditures. As a result, we will need to generate significant revenues in order to achieve and maintain profitability. We may not be able to generate these revenues or achieve profitability in the future. Our failure to achieve or maintain profitability could negatively impact the value of our securities.</w:t>
      </w:r>
    </w:p>
    <w:p>
      <w:pPr>
        <w:spacing w:after="0" w:line="17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our financial statements have been prepared on a going concern basis, we must raise additional capital by the end of 2018 to fund our operations in order to continue as a going concern.</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CohnReznick LLP, our independent registered public accounting firm, has included an explanatory paragraph in their opinion that accompanies our audited consolidated financial statements as of and for the year ended December 31, 2017, indicating that our current liquidity position and history of losses raise substantial doubt about our ability to continue as a going concern. If we are unable to improve our liquidity position we may not be able to continue as a going concern. If we are unable to continue as a going concern, we may have to liquidate our assets and may receive less than the value at which those assets are carried on our financial statements. We may also be forced to make reductions in spending, including delaying or curtailing our clinical development, trials or commercialization efforts, or seek to extend payment terms with our vendors and creditors. Our ability to raise or borrow the capital needed to improve our financial condition may be hindered by a variety of factors, including market conditions and the availability of such financing on acceptable terms, if at all. If we are unable to obtain sufficient funding, our business, prospects, financial condition and results of operations will be materially and adversely affected and we may be unable to continue as a going concern. The accompanying consolidated financial statements do not include any adjustments that might result if we are unable to continue as a going concern and, therefore, be required to realize our assets and discharge our liabilities other than in the normal course of business, which could cause our security holders to suffer the loss of all or a substantial portion of their investment.</w:t>
      </w:r>
    </w:p>
    <w:p>
      <w:pPr>
        <w:spacing w:after="0" w:line="19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anticipate that our principal sources of liquidity will only be sufficient to fund our activities, as currently conducted, through the end of 2018. In order to have sufficient cash to fund our operations thereafter and to continue as a going concern, we will need to raise additional equity or debt financing by the end of 2018. This time frame may change based upon how quickly we are able to execute on our quality management systems’ remediation plans for the ADMA BioManufacturing operations, commercial manufacturing ramp-up activities and the various financing options we are exploring. In order to have sufficient cash to fund our operations thereafter, we will need to raise additional equity or debt capital, and we cannot provide any assurance that we will be successful in doing so. If our assumptions underlying our estimated expenses prove to be wrong, we may have to raise additional capital sooner than the fourth quarter of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upon which to base an investment decision.</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have not demonstrated an ability to perform the functions necessary for the successful commercialization of RI-002. The successful development and commercialization of any product candidate will require us or our collaborators to perform a variety of functions, including:</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product development and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regulatory approval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sales and marketing activities once product approval is received.</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operations thus far provide a limited basis for you to assess our ability to commercialize our product candidates and the advisability of investing in our securities.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5" w:name="page26"/>
    <w:bookmarkEnd w:id="25"/>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our business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ADMA BioCenters operates FDA-licensed, GHA and KMFDS certified source plasma collection facilities located in the U.S., which provide us with a portion of our blood plasma for the manufacture of our products and product candidates. Plasma collected from ADMA BioCenters' facilities that is not used to manufacture our products and product candidates is sold to third-party customers in the U.S. and other locations where we are approved globally under supply agreements or in the open "spot" market. Furthermore, we have completed the construction of our third plasma collection facility, and we filed our BLA with the FDA and initiated collections for this facility in December 2017. Nabi-HB and Bivigam are manufactured at the Boca Facility, an FDA-licensed facility certified by the GHA. A portion of our revenues are dependent upon the continued operation of these facilities. Our operations are vulnerable to interruption by fire, weather related events such as hurricanes, wind and rain, other acts of God, electric power loss, telecommunications failure, equipment failure and breakdown, human error, employee issues and events beyond our control. We do not have detailed disaster recovery plans for our facilities nor do we have a backup manufacturing facility, other than our other facilities, or contractual arrangements with any other manufacturers in the event of a casualty to or destruction of any facility or if any facility ceases to be available to us for any other reason. If we are required to rebuild or relocate any of our facilities, a substantial investment in improvements and equipment would be necessary. We carry only a limited amount of business interruption insurance, which may not sufficiently compensate us for losses that may occur.</w:t>
      </w:r>
    </w:p>
    <w:p>
      <w:pPr>
        <w:spacing w:after="0" w:line="18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lead pipeline product candidate, RI-002, requires extensive clinical data analysis and regulatory review and may require additional testing. Clinical trials and data analysis can be very expensive, time-consuming and difficult to design and implement. If we are unsuccessful in obtaining regulatory approval for RI-002, or any of our product candidates do not provide positive results, we may be required to delay or abandon development of such product, which would have a material adverse impact on our business.</w:t>
      </w:r>
    </w:p>
    <w:p>
      <w:pPr>
        <w:spacing w:after="0" w:line="18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Continuing product development requires additional and extensive clinical testing. Human clinical trials are very expensive and difficult to design and implement, in part because they are subject to rigorous regulatory requirements. The clinical trial process is also time-consuming. While we have met the primary endpoint for our pivotal Phase III trial for RI-002, we cannot provide any assurance or certainty regarding when we might receive regulatory approval of our BLA for RI-002. Furthermore, failure can occur at any stage of the process, and we could encounter problems that cause us to abandon our BLA or repeat clinical trials. The commencement and completion of clinical trials for any current or future development product candidate may be delayed by several factors, including:</w:t>
      </w:r>
    </w:p>
    <w:p>
      <w:pPr>
        <w:spacing w:after="0" w:line="18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dosing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during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to follow our clinical protocols.</w:t>
      </w:r>
    </w:p>
    <w:p>
      <w:pPr>
        <w:spacing w:after="0" w:line="22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addition, the FDA or an independent institutional review board may suspend our clinical trials at any time if it appears that we are exposing participants to unacceptable health risks or if the FDA finds deficiencies in our Investigational New Drug (“IND”) submissions or the conduct of these trials. Therefore, we cannot provide any assurance or predict with certainty the schedule for future clinical trials. In the event we do not ultimately receive regulatory approval for RI-002, we may be required to terminate development of our only product candidate. Unless we acquire or develop other product candidates that are saleable, our business will be limited to plasma collection and sales, as well as sales of Nabi-HB and Bivigam.</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6" w:name="page27"/>
    <w:bookmarkEnd w:id="26"/>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5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Even though our clinical trials for RI-002 have been completed as planned, we cannot be certain that their results will support our product candidate claims.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 In addition, our clinical trials involve a relatively small patient population. Because of the small sample size, the results of these clinical trials may not be indicative of future results. In addition, certain portions of the clinical trial and product testing for RI-002 were performed outside of the U.S., and therefore, may not have been performed in accordance with standards normally required by the FDA and other regulatory agencies.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the necessary U.S. or worldwide regulatory approvals to commercialize RI-002, we will not be able to sell RI-002.</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we cannot obtain regulatory approval for RI-002, we will not be able to generate revenue from this product candidate. As a result,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RI-002 or any other product candidate we may acquire or develop in the future. In order to obtain FDA approval of RI-002 or any other product candidate requiring FDA approval, our clinical development must demonstrate that the product candidate is safe for humans and effective for its intended use, and we must successfully complete an FDA BLA review. Obtaining FDA approval of any other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8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product revenues from, our product candidate;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procedures on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we may otherwise enjoy.</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Even if we comply with all FDA requests, the FDA may ultimately reject our BLA. In addition, the FDA could determine that we must test additional subjects and/or require that we conduct further studies with more subjects. We may never obtain regulatory approval for RI-002, or any other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approval procedures described above. We cannot assure you that we will receive the approvals necessary to commercialize any product candidate for sale outside the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approval from the FDA to market RI-002, our ability to market RI-002 for alternative applications could be limited.</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Generally, the FDA limits approved uses to those studied by a company in its clinical trials. In addition to the FDA approval required for new formulations, any new indication for an approved product also requires FDA approval. We have sought approval from the FDA to market RI-002 for the treatment of PIDD and, even if approved, we cannot be sure whether we will be able to obtain FDA approval for any desired future indications for RI-002.</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7" w:name="page28"/>
    <w:bookmarkEnd w:id="27"/>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Although recent court decisions suggest that certain off-label communications, such as truthful and non-misleading speech, may be protected under the First Amendment, the scope of any such protection is unclear, and there are still significant risks in this area as it is unclear how these court decisions will impact the FDA’s enforcement practices, and there is likely to be substantial disagreement and difference of opinion regarding whether any particular statement is truthful and not misleading. Moreover, while we intend to promote our products consistent with what we believe to be the approved indication for our drugs, the FDA may disagree.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third-party researchers, developers and vendors to develop RI-002, and such parties are, to some extent, outside of our control.</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depend on independent investigators and collaborators, such as universities and medical institutions, contract laboratories, clinical research organizations, contract manufacturers and consultants to conduct our preclinical, clinical trials, CMC testing and other activities under agreements with us. These collaborators are not our employees and we cannot control the amount or timing of resources that they devote to our programs.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the approval of our FDA application(s), if any, and our introduction of new products, if any, will be delayed.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8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Historically a single customer has accounted for a significant amount of our total revenue and, together with a second customer, represented 78% of our total revenue for the year ended December 31, 2017, and therefore the loss of such single customer could have a material adverse effect on our business, results of operations and financial condition.</w:t>
      </w:r>
    </w:p>
    <w:p>
      <w:pPr>
        <w:spacing w:after="0" w:line="17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Historically, a significant amount of our total revenue is attributable to a single customer, BPC. For the year ended December 31, 2017, BPC and Sanofi Pasteur S.A. (“Sanofi”), represented 78% of our total revenue, with BPC representing 47% of our total revenue and Sanofi representing 31% of our total revenue. Although we expect this concentration to decrease during 2018 as additional sales of Nabi-HB, revenues from our contract manufacturing services and sale of intermediate by-products are reflected in our consolidated financial statements, BPC is still expected to account for a significant portion of our total revenue.</w:t>
      </w:r>
    </w:p>
    <w:p>
      <w:pPr>
        <w:spacing w:after="0" w:line="18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loss of BPC as a customer or a material change in the revenue generated by BPC could have a material adverse effect on our business, results of operations and financial condition. Factors that could influence our relationships with our customers include, among other things:</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at competitive prices;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8" w:name="page29"/>
    <w:bookmarkEnd w:id="28"/>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features and quality standards for our products sufficient to meet the expectations of our customers; and</w:t>
      </w:r>
    </w:p>
    <w:p>
      <w:pPr>
        <w:spacing w:after="0" w:line="225" w:lineRule="exact"/>
        <w:rPr>
          <w:rFonts w:ascii="Times New Roman" w:cs="Times New Roman" w:eastAsia="Times New Roman" w:hAnsi="Times New Roman"/>
          <w:sz w:val="18"/>
          <w:szCs w:val="18"/>
          <w:color w:val="auto"/>
        </w:rPr>
      </w:pPr>
    </w:p>
    <w:p>
      <w:pPr>
        <w:jc w:val="center"/>
        <w:ind w:right="1020" w:firstLine="332"/>
        <w:spacing w:after="0" w:line="528" w:lineRule="auto"/>
        <w:tabs>
          <w:tab w:leader="none" w:pos="64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produce and deliver a sufficient quantity of our products in a timely manner to meet our customers’ requirements. Additionally, an adverse change in the financial condition of BPC could have a material adverse effect on our business and results of operations.</w:t>
      </w: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with product quality could have a material adverse effect upon our business, subject us to regulatory actions and cause a loss of customer confidence in us or our products.</w:t>
      </w:r>
    </w:p>
    <w:p>
      <w:pPr>
        <w:spacing w:after="0" w:line="15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a loss of customer confidence in us or our current or future products, which may result in the loss of sales and difficulty in successfully commercializing our current products and launching new products.</w:t>
      </w:r>
    </w:p>
    <w:p>
      <w:pPr>
        <w:spacing w:after="0" w:line="18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physicians and patients do not accept and use our current products or our future product candidates, our ability to generate revenue from these products will be materially impaired.</w:t>
      </w:r>
    </w:p>
    <w:p>
      <w:pPr>
        <w:spacing w:after="0" w:line="15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Even if the FDA approves a product made by ADMA Biologics, physicians and patients may not accept and use it. Acceptance and use of our products will depend on a number of factors including:</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members of the healthcare community, including physicians, about the safety and effectiveness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of our products relative to competing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reimbursement for our products from government or other healthcare payers;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marketing and distribution efforts by us and our licensees and distributors, if any.</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failure of our current and future products to find market acceptance would harm our business and could require us to seek additional financing or make such financing difficult to obtain on favorable terms, if at all.</w:t>
      </w:r>
    </w:p>
    <w:p>
      <w:pPr>
        <w:spacing w:after="0" w:line="1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Industry and other market data used in this Annual Report and our other materials, including those undertaken by us or our engaged consultants, may not prove to be representative of current and future market conditions or future results.</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and our other materials include statistical and other industry and market data that we obtained from industry publications and research, surveys and studies conducted by third parties and surveys and studies we commissioned regarding the market potential for our current products as well as RI-002. Although we believe that such information has been obtained from sources believed to be reliable, neither the sources of such data, nor we, can guarantee the accuracy or completeness of such information. While we believe these industry publications and third-party research, surveys and studies are reliable, we have not independently verified such data. With respect to the information from third-party consultants, the results of this data represent the independent consultants’ own methodologies, assumptions, research, analysis, projections, estimates, composition of respondent pool, presentation of data and adjustments, each of which may ultimately prove to be incorrect, and cause actual results and market viability to differ materially from those presented in such report. Readers should not place undue reliance on this information.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9" w:name="page30"/>
    <w:bookmarkEnd w:id="29"/>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may depend on our ability to supplement our existing product portfolio through new product development or the in-license or acquisition of other new products and product candidates, and if our business development efforts are not successful, our ability to achieve profitability may be adversely impacted.</w:t>
      </w:r>
    </w:p>
    <w:p>
      <w:pPr>
        <w:spacing w:after="0" w:line="175" w:lineRule="exact"/>
        <w:rPr>
          <w:sz w:val="20"/>
          <w:szCs w:val="20"/>
          <w:color w:val="auto"/>
        </w:rPr>
      </w:pPr>
    </w:p>
    <w:p>
      <w:pPr>
        <w:ind w:right="160" w:firstLine="648"/>
        <w:spacing w:after="0" w:line="277" w:lineRule="auto"/>
        <w:rPr>
          <w:sz w:val="20"/>
          <w:szCs w:val="20"/>
          <w:color w:val="auto"/>
        </w:rPr>
      </w:pPr>
      <w:r>
        <w:rPr>
          <w:rFonts w:ascii="Times New Roman" w:cs="Times New Roman" w:eastAsia="Times New Roman" w:hAnsi="Times New Roman"/>
          <w:sz w:val="17"/>
          <w:szCs w:val="17"/>
          <w:color w:val="auto"/>
        </w:rPr>
        <w:t>Our current product development portfolio consists primarily of RI-002 and label expansion activities for Nabi-HB and Bivigam.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raise capital for, and the successful development and commercialization of, RI-002, as well as the revenue we may generate from the sale of Nabi-HB, Bivigam, contract manufacturing, and intermediates and plasma attributable to the operations of ADMA BioCenters, to support our operations.</w:t>
      </w:r>
    </w:p>
    <w:p>
      <w:pPr>
        <w:spacing w:after="0" w:line="16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ADMA BioCenters facilities collect information from donors in the U.S. that subjects us to consumer and health privacy laws, which could create enforcement and litigation exposure if we fail to meet their requirements.</w:t>
      </w:r>
    </w:p>
    <w:p>
      <w:pPr>
        <w:spacing w:after="0" w:line="15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Consumer privacy is highly protected by federal and state law. The Health Insurance Portability and Accountability Act of 1996 (“HIPAA”), as amended by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 care providers engaging in standard transactions (insurance/health plan claims and encounters, payment and remittance advice, claims status, eligibility, enrollment/disenrollment, referrals and authorizations, coordination of benefits and premium payments), and health 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Department of Health and Human Services Office of Civil Rights (“OCR”) has increased its focus on compliance and continues to train state attorneys general for enforcement purposes. OCR has recently increased both its efforts to audit HIPAA compliance and its level of enforcement, with one recent penalty exceeding $5 million.</w:t>
      </w:r>
    </w:p>
    <w:p>
      <w:pPr>
        <w:spacing w:after="0" w:line="19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We could be subject to enforcement action and litigation exposure if we fail to adhere to these data privacy and security laws.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0" w:name="page31"/>
    <w:bookmarkEnd w:id="30"/>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strategic and financial benefits currently anticipated from the Biotest Transaction.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may not realize all of the strategic and financial benefits currently anticipated from the Biotest Transaction. For example, we may not realize the anticipated benefits of acquiring control of all aspects of RI-002 drug manufacturing, regulatory affairs and business operations. In addition, we may not be able to resolve the outstanding issues at the Boca Facility that resulted in the Warning Letter. As part of the remediation of the Warning Letter, in December 2016 BTBU temporarily suspended the production of Bivigam in order to focus on the completion of planned improvements to the manufacturing process. As a result, Bivigam was not available for sale or distribution throughout fiscal 2017. If we are unable to address the underlying concerns at the Boca Facility that resulted in the Warning Letter and the CRL in July 2016 that identified deficiencies and inspection issues related to certain of our third-party contract manufacturers, including BPC, and provide requested documentation of corrections for a number of these issues, we will not be able to apply for the PAS related to the manufacturing of Bivigam or reapply for FDA approval to market and sell RI-002, which could have a material adverse effect on us. Failure to resolve any outstanding issues or any administrative actions taken or changes made by the FDA toward our contract manufacturers, vendors or us could impact our ability to receive approval for RI-002, including the timing thereof, disrupt our business operations and the timing of our commercialization efforts and may have a material adverse effect on our financial condition and operating results.</w:t>
      </w:r>
    </w:p>
    <w:p>
      <w:pPr>
        <w:spacing w:after="0" w:line="19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Through the Biotest Transaction, we assumed a contract manufacturing agreement related to the fractionation of plasma provided by one of our third-party customers that includes certain minimum production requirements. If we are unable to meet our contractual obligations under this agreement, we may be liable for the payment of liquidated damages. If we are unable to resolve these issues, such failure could have a material adverse effect on us.</w:t>
      </w:r>
    </w:p>
    <w:p>
      <w:pPr>
        <w:spacing w:after="0" w:line="17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is also uncertainty as to whether the combined business will be able to operate at a profitable level in the future given the relatively small size of the Biotest Assets and the competitive environment in which we operate. Furthermore, there is no assurance and no definitive timeline as to when or if the Warning Letter will be resolved by the FDA, or when the FDA will inspect our operations. These factors could have a material adverse effect on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integrating the Biotest Assets into our business.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Biotest Transaction involves the integration of two businesses that previously have operated independently with principal offices in two distinct locations. We are expending significant management attention and resources to integrate the two companies following completion of the Biotest Transaction. The failure to integrate successfully and to manage successfully the challenges presented by the integration process may result in the combined company’s failure to achieve some or all of the anticipated benefits of the Biotest Transaction.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Potential difficulties that may be encountered in the integration process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our cash and other assets efficiently to develop the business on a post-Biotest Transaction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appropriately managing the liabilities of our Company on a post-Biotest Transaction basis;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or currently unquantifiable liabilities associated with the Biotest Transaction and the operations of our Company on a post-Biotest Transaction basis;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and unforeseen expenses, delays or regulatory conditions associated with the Biotest Transaction;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shortfalls in one or both of the businesses as a result of the diversion of the applicable management’s attention caused by completing the Biotest Transaction and integrating the business.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Delays in the integration process could adversely affect the combined company’s business, financial results, financial condition and stock price following the Biotest Transaction. Even if the combined company were able to integrate the business operations successfully, there can be no assurance that this integration will result in the realization of the full benefits of synergies, innovation and operational efficiencies that may be possible from this integration or that these benefits will be achieved within a reasonable period of time.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1" w:name="page32"/>
    <w:bookmarkEnd w:id="31"/>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completing the Biotest Transaction, we agreed to transfer assets that have historically generated substantially all of our revenue.</w:t>
      </w:r>
    </w:p>
    <w:p>
      <w:pPr>
        <w:spacing w:after="0" w:line="229"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As part of the purchase price to acquire the Biotest Assets, we have agreed to transfer to BPC ownership of our two licensed plasma collection facilities in the U.S. and certain related assets and liabilities. These plasma collection facilities to be transferred have historically been the source of substantially all of our revenue. Although we have completed construction of a new plasma collection facility, there can be no assurances that we will generate similar revenues as historically reported from the plasma collection facilities we will transfer to BPC on January 1, 2019.</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Biotest Transaction exposes us to liabilities, a release of claims and competition that could have a material adverse effect on our business, financial condition, results of operations and stock price.</w:t>
      </w:r>
    </w:p>
    <w:p>
      <w:pPr>
        <w:spacing w:after="0" w:line="15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part of the consideration for the Biotest Transaction, we agreed to assume certain liabilities of BPC related to BTBU. Because we agreed to assume liabilities related to the Biotest Assets, we are exposed to liabilities that are not within our control and we cannot predict the extent to which these liabilities may arise in the future. Any liabilities that may arise could have a material adverse effect on our business, financial condition, results of operations and stock price.</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Master Purchase and Sale Agreement, dated as of January 21, 2017 (as amended, restated, supplemented or otherwise modified from time to time, the “Purchase Agreement”), with BPC, and for certain limited purposes set forth in the Purchase Agreement, Biotest AG, BPC’s parent corporation, and Biotest US Corporation, a Delaware corporation and subsidiary of Biotest AG (together with Biotest AG, the “Biotest Guarantors”), contains indemnification undertakings by the parties thereto for certain losses, including, among other things, indemnification for any losses arising from breaches of its representations, warranties, covenants and agreements in the Purchase Agreement. In addition, we have agreed to indemnify BPC for any assumed liability, and BPC has agreed to indemnify us for any excluded asset or excluded liability. The parties' representations and warranties (other than fundamental representations and warranties) survive for 15 months following the closing of the Biotest Transaction, fundamental representations survive indefinitely, tax representations survive until the date that is 30 days following the applicable statute of limitations, covenants to be performed on or prior to the closing of the Biotest Transaction survive for 15 months following the closing of the Biotest Transaction, and post-closing covenants survive in accordance with their terms or if no term is specified, indefinitely. Each party’s indemnification obligations with respect to (a) its representations and warranties (other than its fundamental representations) are subject to a $25,000 mini-basket and $750,000 true deductible and (b) its representations, warranties and pre-closing covenants are subject to a $25,000,000 cap. Significant indemnification claims by BPC or its affiliates or a breach by BPC or its affiliates of any indemnity obligations owed to us under the Purchase Agreement could have a material adverse effect on our business, financial condition, results of operations and stock price.</w:t>
      </w:r>
    </w:p>
    <w:p>
      <w:pPr>
        <w:spacing w:after="0" w:line="19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part of the consideration for the Biotest Transaction, the parties also agreed to a mutual release, pursuant to which the parties agreed not to bring any suit, action or claim for any breach or default under the existing manufacturing and supply agreement or master services agreement prior to the closing of the Biotest Transaction. This release remains effective from and after the closing of the Biotest Transaction. Without this release, we would have otherwise been permitted to bring a claim against BPC related to the Warning Letter that could have possibly entitled us to remedies in the event that we are unable to resolve the Warning Letter. The inability to seek these remedies could have a material adverse effect on our business, financial condition, results of operations and stock price.</w:t>
      </w:r>
    </w:p>
    <w:p>
      <w:pPr>
        <w:spacing w:after="0" w:line="18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addition, while the Purchase Agreement contains certain non-compete clauses, such clauses do not prohibit either the Biotest Guarantors or their other affiliates from directly or indirectly (other than through BPC) competing with BTBU after the closing of the Biotest Transaction. Such competition could result in the loss of existing or new customers, price reductions, reduced operating margins and loss of market share, which could have a material adverse effect on our business, financial condition, results of operations and stock price.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2" w:name="page33"/>
    <w:bookmarkEnd w:id="32"/>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due diligence investigation for the Biotest Transaction was inadequate and/or the representations, warranties and indemnification given to us by BPC was inadequate, then it could result in a material adverse effect on our business.</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Even though we believe that we conducted a reasonable and customary due diligence investigation of BTBU and we received market representations, warranties and indemnities from Biotest and BPC, we cannot be sure that our due diligence investigation uncovered all material or non-material issues that may be present. There also can be no assurances that we received access to or had the ability to diligence certain information, as well as appropriate representations and or warranties, that it would be possible to uncover all material issues through customary due diligence, that issues outside of our control will not later arise or that all material issues which are or could be discovered are otherwise covered by the representations and warranties of Biotest and BPC and therefore indemnifiable. If we failed to identify any important issues, or if it were not possible to uncover all material issues or if we did not receive representations and warranties and indemnification concerning any or all material or non-material issues, it could result in a material adverse effect on our business, financial condition, results of operations and stock price.</w:t>
      </w:r>
    </w:p>
    <w:p>
      <w:pPr>
        <w:spacing w:after="0" w:line="18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(the “Credit Agreement”) with Marathon Healthcare Finance Fund, L.P. (“Marathon”) is subject to acceleration in specified circumstances, which may result in Marathon taking possession and disposing of any collateral.</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October 10, 2017, we entered into the Credit Agreement with Marathon which provides for a senior secured term loan facility in an aggregate amount of up to $40.0 million (collectively, the “Credit Facility”), comprised of (i) a term loan in the principal amount of $30.0 million (the “Tranche One Loan”), (ii) an additional term loan to be made in the maximum principal amount not to exceed $10.0 million (the “Tranche Two Loan;” and, together with the Tranche One Loan, the “Loans”), which Tranche Two Loan availability is subject to the satisfaction of certain conditions. The Loans each have a maturity date of April 10, 2022 (the “Maturity Date”), subject to acceleration pursuant to the Credit Agreement, including upon an Event of Default (as defined in the Credit Agreement). The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Loans of 5% per annum, the occurrence of an Event of Default could result in, among other things, the termination of commitments under the Credit Facility, the declaration that all outstanding Loans are immediately due and payable in whole or in part, and Marathon taking immediate possession of, and selling, any collateral securing the Loans.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may render our products or technologies obsolete or non-competitive.</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Our current products, RI-002 (if we obtain regulatory approval)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3" w:name="page34"/>
    <w:bookmarkEnd w:id="33"/>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we move forward in clinical development we are also uncovering novel aspects of our product and are drafting patents to cover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inventions. We rely on a combination of patent rights, trade secrets and nondisclosure and non-competition agreements to protect our proprietary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we will continue to do so. There can be no assurance that our patent, trade secret policies and practices or other agreements will adequately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protect our intellectual property. Our issued patents may be challenged, found to be over-broad or otherwise invalidated in subsequent proceedings before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courts or the USPTO. Even if enforceable, we cannot provide any assurances that they will provide significant protection from competition. The processes,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systems, and/or security measures we use to preserve the integrity and confidentiality of our data and trade secrets may be breached, and we may not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adequate remedies as a result of any such breaches. In addition, our trade secrets may otherwise become known or be independently discovered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competitors. There can be no assurance that the confidentiality, nondisclosure and non-competition agreements with employees, consultants and other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access to our proprietary information to protect our trade secrets, proprietary technology, processes and other proprietary rights, or any other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measures relating to such trade secrets, proprietary technology, processes and proprietary rights, will be adequate, will not be breached, that we will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adequate remedies for any breach, that others will not independently develop substantially equivalent proprietary information or that third parties will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gain access to our trade secrets or proprietary knowledge. To the extent that our consultants, contractors or collaborators use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by others in their work for us, disputes may arise as to the rights in related or resulting know-how and inventions.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lose market exclusivity of a product earlier than expected.</w:t>
      </w:r>
    </w:p>
    <w:p>
      <w:pPr>
        <w:spacing w:after="0" w:line="229"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realized during its market exclusivity period. In the U.S. and in some other countries, when market exclusivity expires and generic versions are approved and marketed or when biosimilars are introduced (even if only for a competing product), there are usually very substantial and rapid declines in a product’s revenues.</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8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Patent rights covering RI-002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and no assurance can be given that we will</w:t>
      </w:r>
    </w:p>
    <w:p>
      <w:pPr>
        <w:spacing w:after="0" w:line="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prevail. There is no assurance that RI-002, or any other of our products for which we are issued a patent, will enjoy market exclusivity for the full time period of the respective patent.</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5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operate our business without infringing third-party patents. Numerous U.S. and foreign patents and pending patent applications owned by third parties exist in fields that relate to the development and commercialization of immune globulins.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and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ectPr>
          <w:pgSz w:w="11900" w:h="16838" w:orient="portrait"/>
          <w:cols w:equalWidth="0" w:num="1">
            <w:col w:w="11420"/>
          </w:cols>
          <w:pgMar w:left="240" w:top="225"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34" w:name="page35"/>
    <w:bookmarkEnd w:id="34"/>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manage our growth, our business may be harmed.</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If we are unable to manage our growth effectively, our business could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our management team could adversely affect our business.</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 Notwithstanding the foregoing, in the event Mr. Grossman is terminated for cause or resigns other than for good reason, then the standstill provisions contained in the Stockholders Agreement, dated as of June 6, 2017, by and between the Company and BPC, which prohibits BPC and its affiliates collectively from, among other things, acquiring more than (i) 50%, less one share, of the Company’s issued and outstanding shares of capital stock on an as-converted basis, or (ii) 30% of the issued and outstanding shares of Common Stock, will terminate and be of no further force and effect. Such event could result in Biotest acquiring additional shares of our Common Stock or taking other actions with the goal of acquiring additional shares of our Common Stock.</w:t>
      </w:r>
    </w:p>
    <w:p>
      <w:pPr>
        <w:spacing w:after="0" w:line="187"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and other security breaches could compromise our proprietary and confidential information, which could harm our business and reputation.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5" w:name="page36"/>
    <w:bookmarkEnd w:id="35"/>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additional qualified personnel, our ability to grow our business may be harmed.</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will need to hire additional qualified personnel with expertise in commercialization, sales, marketing, medical affairs, reimbursement, government regulation, formulation and manufacturing and finance and accounting. In particular, over the next 12-24 months, we expect to hire several new employees devoted to commercialization, sales, marketing, medical and scientific affairs, regulatory affairs, quality control, financial, general and operational management. We compete for qualified individuals with numerous biopharmaceutical companies, universities and other research institutions. Competition for such individuals is intense, and we cannot assure you that our search for such personnel will be successful. Attracting and retaining qualified personnel will be critical to our success and any failure to do so successfully may have a material adverse effect on us.</w:t>
      </w:r>
    </w:p>
    <w:p>
      <w:pPr>
        <w:spacing w:after="0" w:line="1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collect human blood plasma at our ADMA BioCenters facilities, and if we cannot maintain FDA approval for these facilities we may be adversely affected and may not be able to sell or use this human blood plasma for future commercial purposes.</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intend to maintain FDA and other governmental and regulatory approvals of our ADMA BioCenters collection facilities for the collection of human blood plasma. These facilities are subject to FDA and other governmental and regulatory inspections and extensive regulation, including compliance with current cGMP, FDA and other government approvals. Failure to comply with applicable governmental regulations or to receive applicable approvals for our future facilities, including our third facility, may result in enforcement actions, such as adverse inspection reports, warning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18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manufacture our current marketed products, pipeline products, and products for third parties in our manufacturing and testing facilities, and if we cannot maintain appropriate FDA status for these facilities, we may be adversely affected, and may not be able to sell, manufacture or commercialize these products.</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currently operate under the Warning Letter due to issues identified by the FDA in their prior inspections while the Boca Facility was under Biotest’s operational control. We engaged a leading consulting firm with extensive experience in remediating compliance and inspection issues related to quality management systems and which manages a robust team of subject matter experts in plasma derived products and biologic drugs to assist us in addressing all identified CMC and cGMP issues and deficiencies. We believe that we have been inspection-ready since the end of 2017 and expect to have the FDA inspection classification relative to the Warning Letter improved after the next inspection by the FDA.</w:t>
      </w:r>
    </w:p>
    <w:p>
      <w:pPr>
        <w:spacing w:after="0" w:line="1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receive FDA approval for additional plasma collection centers, including our third center for which construction was completed in late 2017, before January 1, 2019, then we may be required to seek a waiver and extension from Biotest for the contractually required transfer of two of our facilities.</w:t>
      </w:r>
    </w:p>
    <w:p>
      <w:pPr>
        <w:spacing w:after="0" w:line="17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recently completed construction our third plasma center and plan to leverage our existing plasma center license in order to seek approval for this new facility with the FDA. The BLA for this facility was filed with the FDA in December 2017. If we do not receive FDA approval for this third plasma center on or before January 1, 2019, then we will be required to seek a waiver and extension from Biotest for our contractual obligation to transfer the two facilities under the Purchase Agreement. However, there can be no assurances that Biotest will waive or extend its rights with respect to such transfer. In the event Biotest refuses to waive and extend such right, we will be obligated to transfer the two facilities under the Purchase Agreement and risk not having an FDA-approved plasma center in the event of a delay or refusal to issue our future license for the new plasma center by the FDA. Any such delay or refusal to issue the license by the FDA could have a material adverse effect on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pharmaceutical products we develop, either alone or with collaborators.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6" w:name="page37"/>
    <w:bookmarkEnd w:id="36"/>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laws governing our conduct in the U.S. are enforceable on the federal and state levels by criminal, civil and administrative penalties. Violations of laws such as the Federal Food, Drug, and Cosmetic Act, the Social Security Act (including the Anti-Kickback Law), the Public Health Service Act and the Federal False Claims Act, and any regulations promulgated under the authority of the preceding, may result in jail sentences, fines or exclusion from federal and state programs, as may be determined by Medicare, Medicaid and the Department of Health and Human Services and other regulatory authorities as well as by the courts. Similarly, the violation of applicable laws, rules and regulations of the State of Florida with respect to the manufacture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85"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For example, under the Anti-Kickback Law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 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and the companion Health Care and Education Reconciliation Act, which together are referred to as the “Healthcare Reform Law”, such payments by pharmaceutical manufacturers to U.S. healthcare practitioners and academic medical centers must be publicly disclosed.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19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Law that applies to Medicare and Medicaid, and other health 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7" w:name="page38"/>
    <w:bookmarkEnd w:id="37"/>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report detailed pricing information, net of included discounts, rebates and other concessions, to the Centers for Medicare &amp; Medicaid Services (“CMS”) for the purpose of calculating national reimbursement levels, certain federal prices and certain federal and state rebate obligations. Inaccurate or incomplete reporting of pricing information could result in liability under the False Claims Act, the federal Anti-Kickback Law and various other laws, rules and regulations.</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8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 care laws, and mitigate potential liability in the event of noncompliance, regulatory authorities such as the U.S. Health and Human Services Department Office of Inspector General (the “OIG”) have recommended the adoption and implementation of a comprehensive health care compliance program that generally contains the elements of an effective compliance and ethics program described in Section 8B2.1 of the U.S. Sentencing Commission Guidelines Manual. Increasing numbers of U.S.-based pharmaceutical companies have such programs. In the future, we may need to adopt healthcare compliance and ethics programs that would incorporate the OIG's recommendations, and train our applicable employees in such compliance. Such a program may be expensive and may not assure that we will avoid compliance issues.</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8" w:name="page39"/>
    <w:bookmarkEnd w:id="38"/>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manufacturing processes for plasma-based biologics are complex and involve biological intermediates that are susceptible to contamination.</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ship or distribute our products,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w:t>
      </w:r>
    </w:p>
    <w:p>
      <w:pPr>
        <w:spacing w:after="0" w:line="19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76"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to produce safe and effective products depends on the safety of our plasma supply and manufacturing processes against transmittable diseases.</w:t>
      </w:r>
    </w:p>
    <w:p>
      <w:pPr>
        <w:spacing w:after="0" w:line="15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Despite overlapping safeguards, including the screening of donors and other steps to remove or inactivate viruses and other infectious disease causing agents, the risk of transmissible disease through blood plasma products cannot be entirely eliminated. For example, since plasma-derived therapeutics involves the use and purification of human plasma, there has been concern raised about the risk of transmitting human immunodeficiency virus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9" w:name="page40"/>
    <w:bookmarkEnd w:id="39"/>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supply-constrained and our financial performance would suffer if we cannot obtain adequate quantities of FDA-approved source plasma with proper specifications.</w:t>
      </w:r>
    </w:p>
    <w:p>
      <w:pPr>
        <w:spacing w:after="0" w:line="15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order for plasma to be used in the manufacturing of our products, the individual centers at which the plasma is collected must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An unsatisfactory inspection could prevent a new center from being licensed or risk the suspension or revocation of an existing license.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In order to maintain a plasma center's license, its operations must continue to conform to cGMP and other regulatory requirements. In the event that we determine that plasma was not collected in compliance with cGMP,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centers. This strategy is dependent upon our ability to maintain a cGMP compliant environment in both plasma centers and to expand production and attract donors to both centers. There is no assurance that the FDA will inspect and license our unlicensed plasma collection centers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centers to more efficient production levels may be affected by changes in the economic environment and population in selected regions where ADMA BioCenters operates its current or future plasma centers,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centers.</w:t>
      </w:r>
    </w:p>
    <w:p>
      <w:pPr>
        <w:spacing w:after="0" w:line="18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 As the FDA BLA review process is ongoing, we are subject to information requests and communications from the FDA on a routine basis and may not have clarity on any or all specific aspects of the approval timing, language, name, claims and any other future requirements that may be imposed by the FDA or other governmental agencies for marketing, authorization and ultimately financial reimbursement for patient utilization.</w:t>
      </w:r>
    </w:p>
    <w:p>
      <w:pPr>
        <w:spacing w:after="0" w:line="18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0" w:name="page41"/>
    <w:bookmarkEnd w:id="40"/>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new biosimilar pathway established as part of the healthcare reform may make it easier for competitors to market biosimilar products.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Healthcare Reform Law introduced an abbreviated licensure pathway for biological products that are demonstrated to be biosimilar to an FDA-licensed biological product. A biological product may be demonstrated to be “biosimilar” if data show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The FDA approved the first biosimilar product in 2015, and approved three biosimilar products in 2016. As a result of the biosimilar pathway in the U.S., we expect in the future to face greater competition from biosimilar products, including a possible increase in patent challenges.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the Healthcare Reform Law in the U.S. may adversely affect our business.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The changes contemplated by the Healthcare Reform Law are subject to rule-making and implementation timelines that extend for several years, and this uncertainty limits our ability to forecast changes that may occur in the future. However, implementation has already begun with respect to certain significant cost-saving measures under the Healthcare Reform Law, for example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the U.S. Department of Health and Human Services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is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19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 The Healthcare Reform Law established the Center for Medicare and Medicaid Innovation within CMS to test innovative payment and service delivery models to lower Medicare and Medicaid spending, potentially including prescription drug spending. Funding has been allocated to support the mission of the Center for Medicare and Medicaid Innovation through 2019.</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1" w:name="page42"/>
    <w:bookmarkEnd w:id="41"/>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Healthcare Reform Law also creates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the U.S. Department of Health and Human Services, and reimburse each Medicare Part D plan sponsor an amount equal to 50%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9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There have been repeated attempts by Congress to repeal or change the Healthcare Reform Law. At this time, it remains unclear whether there will be any changes made to or any repeal or replacement of the Healthcare Reform Law, with respect to certain of its provisions or in its entirety.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the worldwide economy may adversely impact our business.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difficult economic environment may adversely affect demand for our products. RI-002, our current product candidate, is expected to be sold to hospitals, specialty pharmacies and clinicians in the U.S. As a result of loss of jobs, patients may lose medical insurance and be unable to purchase our products or may be unable to pay their share of deductibles or co-payments. Hospitals adversely affected by the economy may steer patients to less costly therapies, resulting in a reduction in demand, or demand may shift to public health hospitals, which may purchase at a lower government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Finances, Capital Requirements and Other Financial Matters</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For the years ended December 31, 2017 and 2016, we had negative cash flows from operations of approximately $37.3 million and $18.3 million, respectively. We expect to continue to spend substantial amounts on product development, including commercialization activities, procuring raw material plasma, manufacturing, conducting potential future clinical trials for our product candidates and purchasing clinical trial materials from our suppliers. We currently anticipate , based upon our projected revenue and expenditures, as well as the additional $10.0 million we expect to be able to draw down under the Credit Agreement, that our current cash, cash equivalents and accounts receivable will be sufficient to fund our operations, as currently conducted, through the end of 2018. In order to have sufficient cash to fund our operations thereafter and to continue as a going concern, we will need to raise additional equity or debt financing by the end of 2018. This time frame may change based upon how quickly we are able to execute on our operational initiatives and the various financing options we are exploring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we will have to delay, curtail or eliminate our product development activities, including conducting clinical trials for our product candidates and purchasing clinical trial materials from our suppliers, as well as future commercialization efforts.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5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2" w:name="page43"/>
    <w:bookmarkEnd w:id="42"/>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cash, cash equivalents and short-term investments could be adversely affected if the financial institutions in which we hold our cash, cash equivalents and short-term investments fail.</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84" w:lineRule="exact"/>
        <w:rPr>
          <w:sz w:val="20"/>
          <w:szCs w:val="20"/>
          <w:color w:val="auto"/>
        </w:rPr>
      </w:pPr>
    </w:p>
    <w:p>
      <w:pPr>
        <w:ind w:right="4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36" w:lineRule="exact"/>
        <w:rPr>
          <w:sz w:val="20"/>
          <w:szCs w:val="20"/>
          <w:color w:val="auto"/>
        </w:rPr>
      </w:pPr>
    </w:p>
    <w:p>
      <w:pPr>
        <w:ind w:right="440" w:firstLine="648"/>
        <w:spacing w:after="0" w:line="256" w:lineRule="auto"/>
        <w:rPr>
          <w:sz w:val="20"/>
          <w:szCs w:val="20"/>
          <w:color w:val="auto"/>
        </w:rPr>
      </w:pPr>
      <w:r>
        <w:rPr>
          <w:rFonts w:ascii="Times New Roman" w:cs="Times New Roman" w:eastAsia="Times New Roman" w:hAnsi="Times New Roman"/>
          <w:sz w:val="18"/>
          <w:szCs w:val="18"/>
          <w:color w:val="auto"/>
        </w:rPr>
        <w:t>Pursuant to Section 404 of the Sarbanes-Oxley Act of 2002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Securities Exchange Act of 1934, as amended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(“NOLs”) may be limited.</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have incurred substantial losses during our history. As of December 31, 2017, we had federal and state NOLs of $125.3 million and $201.5 million, respectively. These NOLs will begin to expire at various dates beginning in 2027, if not limited by triggering events prior to such time. Under the provisions of the Internal Revenue Code, changes in our ownership, in certain circumstances, will limit the amount of federal NOLs that can be utilized annually in the future to offset taxable income. In particular, Section 382 of the Internal Revenue Code imposes limitations on a company’s ability to use NOLs upon certain changes in such ownership. If we are limited in our ability to use our NOLs in future years in which we have taxable income, we will pay more taxes than if we were able to fully utilize our NOLs. We may experience ownership changes in the future as a result of subsequent shifts in our stock ownership that we cannot predict or control that could result in further limitations being placed on our ability to utilize our federal NOLs.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recently passed Tax Cuts and Jobs Act (the “TCJA”) could adversely affect our business and financial condition.</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December 22, 2017, President Trump signed into law the TCJA, which significantly reforms the Internal Revenue Code. The TCJA,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generated after December 31, 2017 to 80% of current year taxable income and elimination of net operating loss carrybacks, immediate deductions for certain new investments instead of deductions for depreciation expense over time and modifying or repealing many business deductions and credits. Federal net operating losses arising in taxable years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 We urge our stockholders to consult with their legal and tax advisors with respect to such legislation and the potential tax consequences of investing in our Common Stock.</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3" w:name="page44"/>
    <w:bookmarkEnd w:id="43"/>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may fluctuate in a way that is disproportionate to our operating performance.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potential sales of substantial amounts of our Common Stock;</w:t>
      </w:r>
    </w:p>
    <w:p>
      <w:pPr>
        <w:spacing w:after="0" w:line="225"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leverage the anticipated benefits and synergies from the Biotest Transaction, including optimization of the combined businesses, operations and products and services, including the nature, strategy and focus of the combined company and the management and governance structure of the combined company;</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or completing preclinical or clinical trials or unsatisfactory results of these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FDA approval for RI-002;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acceptance, third-party reimbursement and sales of RI-002;</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resume the manufacturing of Bivigam once the deficiencies identified in the CRL have been resolved by us to the satisfaction of the FDA;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us or about our competitors, including clinical trial results, regulatory approvals or new product introductions;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licensors or third-party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developments relating to our patents or other proprietary rights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pharmaceutical or biotechnology industries;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and legislation;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anticipated or actual operating results;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securities analysts’ estimates of our performance, or our failure to meet analysts’ expectations.</w:t>
      </w:r>
    </w:p>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our Common Stock is extremely speculative and there can be no assurance of any return on any such investment.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investment in our Common Stock is extremely speculative and there is no assurance that investors will obtain any return on their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will be subject to substantial risks involved in an investment in us, including the risk of losing their entire investment.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4" w:name="page45"/>
    <w:bookmarkEnd w:id="44"/>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or the perception that such sales may occur, may adversely impact the market price of our Common Stock.</w:t>
      </w:r>
    </w:p>
    <w:p>
      <w:pPr>
        <w:spacing w:after="0" w:line="15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As of December 31, 2017, most of our 45,316,659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(“Rule 144”) or under effective registration statements. The 12,886,740 shares of common stock, including 8,591,160 shares of Non-Voting Common Stock, acquired by BPC in the Biotest Transaction were subject to a lock-up for six months after closing of the Biotest Transaction, which lock-up expired on December 6, 2017. For three years after the end of such six-month period, subject to certain limited exceptions, under the stockholders agreement entered into between the Company and BPC upon closing the Biotest Transaction, sales by BPC of our equity interests may not exceed 15% of the issued and outstanding common stock of ADMA in any twelve-month period; provided, however, that if our market capitalization increases to double our market capitalization immediately following the closing of the Biotest Transaction, then BPC may sell up to 20% of our issued and outstanding common stock in any twelve-month period; provided, further, that (x) if our market capitalization increases to triple our market capitalization immediately following the closing of the Biotest Transaction, or (y) upon the one-year anniversary of BPC holding less than a 25% economic interest in us, then BPC may sell its equity interests in us at any time (subject to applicable securities laws). At the closing of the Biotest Transaction, we entered into a registration rights agreement with BPC, pursuant to which BPC will have, among other things, certain registration rights under the Securities Act with respect to its shares of our common stock, subject to certain transfer restrictions. Sales of a substantial number of shares of our common stock, or the perception that such sales may occur, may adversely impact the market price of our Common Stock.</w:t>
      </w:r>
    </w:p>
    <w:p>
      <w:pPr>
        <w:spacing w:after="0" w:line="195"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affiliates control a substantial amount of our shares of common stock. Provisions in our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As of December 31, 2017, BPC, our directors and executive officers and their affiliates beneficially owned in excess of 55% of the outstanding shares of our common stock. In addition, these provisions may limit the ability of stockholders to approve transactions that they may deem to be in their best interests. These provisions include:</w:t>
      </w:r>
    </w:p>
    <w:p>
      <w:pPr>
        <w:spacing w:after="0" w:line="18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institute a stockholder rights plan, also known as a poison pill, that would work to dilute our stock,</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5" w:name="page46"/>
    <w:bookmarkEnd w:id="45"/>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5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As a result, capital appreciation, if any, of our common stock will be your sole source of gain for the foreseeable future.</w:t>
      </w:r>
    </w:p>
    <w:p>
      <w:pPr>
        <w:spacing w:after="0" w:line="17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adhere to the strict listing requirements of the Nasdaq Capital Market (“Nasdaq”), we may be subject to delisting. As a result, our stock price may decline and our Common Stock may be delisted. If our stock were no longer listed on Nasdaq, the liquidity of our securities likely would be impaired.</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Common Stock currently trades on Nasdaq under the symbol “ADMA.” If we fail to adhere to Nasdaq's strict listing criteria, including with respect to stock price, our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of and trading activity of our Common Stock. Although we currently satisfy the listing criteria for Nasdaq, if our stock price declines dramatically, we could be at risk of failing to meet the Nasdaq continued listing criteria.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stock regulations may affect your ability to sell our Common Stock.</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Because the price of our Common Stock currently trades below $5.00 per share, our Common Stock is subject to Rule 15g-9 under the Exchange Act, which imposes additional sales practice requirements on broker 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8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elect to comply with reduced public company reporting requirements applicable to emerging growth companies, which could make our Common Stock less attractive to investors.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by the Jumpstart Our Business Startups Act (the “JOBS Act”). The JOBS Act contains provisions that, among other things, reduce certain reporting requirements for qualifying public companies. As an “emerging growth company,” we may, under Section 7(a)(2)(B) of the Securities Act, delay adoption of new or revised accounting standards applicable to public companies until such standards would otherwise apply to private companies. We may continue to take advantage of this extended transition period until the first to occur of the date that we (i) are no longer an “emerging growth company” or (ii) affirmatively and irrevocably opt out of this extended transition period.</w:t>
      </w:r>
    </w:p>
    <w:p>
      <w:pPr>
        <w:spacing w:after="0" w:line="18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could be an emerging growth company until December 31, 2018, which is the last day of the fiscal year following the fifth anniversary of the first sale of our common equity securities pursuant to an effective registration statement under the Securities Act. However, if certain events occur prior to the end of such five-year period, including if we become a “large accelerated filer,” our annual gross revenues exceed $1 billion or we issue more than $1 billion of non-convertible debt in any three-year period, we would cease to be an emerging growth company prior to the end of such five-year period.</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6" w:name="page47"/>
    <w:bookmarkEnd w:id="46"/>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Securities Act Section 7(a)(2)(B),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 As an emerging growth company, we are also exempt from the requirement to have our independent registered public accounting firm provide an attestation report on our internal control over financial reporting.</w:t>
      </w:r>
    </w:p>
    <w:p>
      <w:pPr>
        <w:spacing w:after="0" w:line="18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as a result of our reliance on these exemptions. If some investors find our Common Stock less attractive as a result of any choice we make to reduce disclosure, there may be a less active trading market for our Common Stock, our stock price may be more volatile and our stock price may decline dramatically.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75,000,000 shares of Common Stock, of which 34,469,713 shares remain available for issuance and may be issued by us without stockholder approval, and up to 8,591,160 shares of Non-Voting Common Stock, all of which are issued and outstanding.</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7" w:name="page48"/>
    <w:bookmarkEnd w:id="47"/>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headquarters are located in approximately 4,200 square feet of space at 465 State Route 17, Ramsey, NJ. Our telephone number is (201) 478-5552. Currently we operate under a shared services agreement with Areth, LLC (“Areth”) for the office, warehouse space and certain related services and have the ability to cancel this agreement upon 30 days’ notice. Areth is a company controlled by Dr. Jerrold B. Grossman, our Vice Chairman, and Adam S. Grossman, our President and Chief Executive Officer, and we pay Areth monthly fees for the use of such office space and for other information technology, general warehousing and administrative services. Effective October 1, 2017, rent under the shared services agreement is $10,000 per month.</w:t>
      </w:r>
    </w:p>
    <w:p>
      <w:pPr>
        <w:spacing w:after="0" w:line="18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ADMA BioCenters’ facilities are located in Norcross, GA, Marietta, GA and Kennesaw, GA. The combined facilities have a total of approximately 40,000 square feet of space, and total rent for the three facilities is approximately $53,000 per month. The Norcross, GA lease, the term of which was extended by five years on January 1, 2014 pursuant to the first of two available five-year renewal options, expires on September 30, 2023, and the Marietta, GA lease expires on January 31, 2024. The Kennesaw, GA lease expires April 1, 2026.</w:t>
      </w:r>
    </w:p>
    <w:p>
      <w:pPr>
        <w:spacing w:after="0" w:line="180" w:lineRule="exact"/>
        <w:rPr>
          <w:sz w:val="20"/>
          <w:szCs w:val="20"/>
          <w:color w:val="auto"/>
        </w:rPr>
      </w:pPr>
    </w:p>
    <w:p>
      <w:pPr>
        <w:ind w:right="340" w:firstLine="648"/>
        <w:spacing w:after="0" w:line="256" w:lineRule="auto"/>
        <w:rPr>
          <w:sz w:val="20"/>
          <w:szCs w:val="20"/>
          <w:color w:val="auto"/>
        </w:rPr>
      </w:pPr>
      <w:r>
        <w:rPr>
          <w:rFonts w:ascii="Times New Roman" w:cs="Times New Roman" w:eastAsia="Times New Roman" w:hAnsi="Times New Roman"/>
          <w:sz w:val="18"/>
          <w:szCs w:val="18"/>
          <w:color w:val="auto"/>
        </w:rPr>
        <w:t>As part of the Biotest Transaction, we acquired the Boca Facility, which consists of two buildings aggregating 83,543 square feet residing on approximately 14.6 acres of land in Boca Raton, FL. All of our plasma fractionation and drug product manufacturing are conducted at the Boca Facility, which also contains administrative office space for our ADMA BioManufacturing subsidiary and for certain of our centralized corporate functions. In connection with the acquisition of the Biotest Assets, we assumed two warehouse leases in Boca Raton, FL for additional storage space for raw materials, spare parts and other supplies related to its business. One of these leases expired on December 31, 2017 and the other lease expires on July 31, 2018. The aggregate minimum lease payments for these two leases are approximately $9,000 per month.</w:t>
      </w:r>
    </w:p>
    <w:p>
      <w:pPr>
        <w:spacing w:after="0" w:line="18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Additionally, on January 1, 2019, pursuant to the terms of a separate purchase agreement entered into between ADMA BioManufacturing and BPC at the closing, we agreed to sell, transfer and convey to BPC for no additional consideration, all of our right, title and interest in and to certain of our plasma collection facilities located in the U.S., which are subject to a repurchase right in favor of us if within five years after January 1, 2019, the Biotest stockholders and its related entities own less than 20% of our issued and outstanding capital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our leased and owned properties are adequate to meet our current and future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are and may become subject to certain legal proceedings and claims arising in connection with the normal course of our business. In the opinion of management, there are currently no claims that would have a material adverse effect on our consolidated financial position, results of operations or cash flows.</w:t>
      </w:r>
    </w:p>
    <w:p>
      <w:pPr>
        <w:spacing w:after="0" w:line="172" w:lineRule="exact"/>
        <w:rPr>
          <w:sz w:val="20"/>
          <w:szCs w:val="20"/>
          <w:color w:val="auto"/>
        </w:rPr>
      </w:pPr>
    </w:p>
    <w:p>
      <w:pPr>
        <w:jc w:val="center"/>
        <w:ind w:right="90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8" w:name="page49"/>
    <w:bookmarkEnd w:id="48"/>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has been listed on the Nasdaq Capital Market (“Nasdaq”) under the symbol "ADMA" since November 10, 2014.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each of the calendar periods indicated, the high and low sales prices for our Common Stock, as reported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High</w:t>
            </w:r>
          </w:p>
        </w:tc>
        <w:tc>
          <w:tcPr>
            <w:tcW w:w="460" w:type="dxa"/>
            <w:vAlign w:val="bottom"/>
          </w:tcPr>
          <w:p>
            <w:pPr>
              <w:spacing w:after="0"/>
              <w:rPr>
                <w:sz w:val="19"/>
                <w:szCs w:val="19"/>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Low</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High</w:t>
            </w:r>
          </w:p>
        </w:tc>
        <w:tc>
          <w:tcPr>
            <w:tcW w:w="440" w:type="dxa"/>
            <w:vAlign w:val="bottom"/>
          </w:tcPr>
          <w:p>
            <w:pPr>
              <w:spacing w:after="0"/>
              <w:rPr>
                <w:sz w:val="19"/>
                <w:szCs w:val="19"/>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56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56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56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February 28, 2018, there were eight record holders of our Common Stock, based upon information received from our transfer agent. However, this number does not include beneficial owners whose shares were held of record by nominees or broker dealers. We estimate that there are more than 1,400 beneficial owners of our Common Stock. As of March 1, 2018, BPC was the sole record holder of our Non-Voting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never paid any cash dividends on our capital stock. We anticipate that we will retain earnings, if any, to support operations and to finance the growth and development of our business. In addition, the terms of our Credit Agreement with Marathon precludes us from paying cash dividends without the consent of Marathon. Therefore, we do not expect to pay cash dividends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equity compensation plans as of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40" w:type="dxa"/>
            <w:vAlign w:val="bottom"/>
          </w:tcPr>
          <w:p>
            <w:pPr>
              <w:spacing w:after="0"/>
              <w:rPr>
                <w:sz w:val="18"/>
                <w:szCs w:val="18"/>
                <w:color w:val="auto"/>
              </w:rPr>
            </w:pPr>
          </w:p>
        </w:tc>
        <w:tc>
          <w:tcPr>
            <w:tcW w:w="22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40" w:type="dxa"/>
            <w:vAlign w:val="bottom"/>
          </w:tcPr>
          <w:p>
            <w:pPr>
              <w:spacing w:after="0"/>
              <w:rPr>
                <w:sz w:val="18"/>
                <w:szCs w:val="18"/>
                <w:color w:val="auto"/>
              </w:rPr>
            </w:pPr>
          </w:p>
        </w:tc>
        <w:tc>
          <w:tcPr>
            <w:tcW w:w="22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remaining 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40" w:type="dxa"/>
            <w:vAlign w:val="bottom"/>
          </w:tcPr>
          <w:p>
            <w:pPr>
              <w:spacing w:after="0"/>
              <w:rPr>
                <w:sz w:val="18"/>
                <w:szCs w:val="18"/>
                <w:color w:val="auto"/>
              </w:rPr>
            </w:pPr>
          </w:p>
        </w:tc>
        <w:tc>
          <w:tcPr>
            <w:tcW w:w="22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0" w:type="dxa"/>
            <w:vAlign w:val="bottom"/>
          </w:tcPr>
          <w:p>
            <w:pPr>
              <w:spacing w:after="0"/>
              <w:rPr>
                <w:sz w:val="18"/>
                <w:szCs w:val="18"/>
                <w:color w:val="auto"/>
              </w:rPr>
            </w:pPr>
          </w:p>
        </w:tc>
        <w:tc>
          <w:tcPr>
            <w:tcW w:w="22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c>
          <w:tcPr>
            <w:tcW w:w="0" w:type="dxa"/>
            <w:vAlign w:val="bottom"/>
          </w:tcPr>
          <w:p>
            <w:pPr>
              <w:spacing w:after="0"/>
              <w:rPr>
                <w:sz w:val="1"/>
                <w:szCs w:val="1"/>
                <w:color w:val="auto"/>
              </w:rPr>
            </w:pPr>
          </w:p>
        </w:tc>
      </w:tr>
      <w:tr>
        <w:trPr>
          <w:trHeight w:val="238"/>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40" w:type="dxa"/>
            <w:vAlign w:val="bottom"/>
          </w:tcPr>
          <w:p>
            <w:pPr>
              <w:spacing w:after="0"/>
              <w:rPr>
                <w:sz w:val="20"/>
                <w:szCs w:val="20"/>
                <w:color w:val="auto"/>
              </w:rPr>
            </w:pPr>
          </w:p>
        </w:tc>
        <w:tc>
          <w:tcPr>
            <w:tcW w:w="22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holders</w:t>
            </w:r>
          </w:p>
        </w:tc>
        <w:tc>
          <w:tcPr>
            <w:tcW w:w="2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3,276,043</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654,645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holders</w:t>
            </w:r>
          </w:p>
        </w:tc>
        <w:tc>
          <w:tcPr>
            <w:tcW w:w="246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3,276,043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654,645</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9" w:name="page50"/>
    <w:bookmarkEnd w:id="49"/>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2017, we had no sales of unregistered securities that have not been previously disclosed in a Current Report on Form 8-K or Quarterly Reports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repurchase any of our securities during the three months ended December 31, 2017.</w:t>
      </w:r>
    </w:p>
    <w:p>
      <w:pPr>
        <w:spacing w:after="0" w:line="221"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the consolidated financial statements and notes thereto included elsewhere in this Annual Report on Form 10-K. The various sections of this discussion contain a number of forward-looking statements, all of which are based on our current expectations and could be materially affected by the uncertainties and risk factors described throughout this Annual Report. See “Special Note Regarding Forward-Looking Statements.” Our actual results may differ materially.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18"/>
          <w:szCs w:val="18"/>
          <w:color w:val="auto"/>
        </w:rPr>
        <w:t>We are a vertically integrated commercial biopharmaceutical and specialty immunoglobulin company that manufactures, markets and develops specialty plasma-derived biologics for the treatment of immune deficiencies and prevention of certain infectious diseases. Our targeted patient populations include immune-compromised individuals who suffer from an underlying immune deficiency disorder or who may be immune-suppressed for medical reasons. We currently have two marketed products: Nabi-HB, indicated for the treatment of acute exposure to blood containing Hepatitis B surface antigen (“HBsAg”); and Bivigam, indicated for the treatment of primary humoral immunodeficiency. We are also developing a pipeline of plasma-derived therapeutics, including our lead pipeline product candidate, RI-002, for the treatment of Primary Immune Deficiency Disease (“PIDD”). Our products and product candidates are intended to be used by physician specialists focused on caring for immune-compromised patients with or at risk for certain infectious diseases. Through our wholly-owned subsidiary, ADMA Bio Centers Georgia, Inc., (“ADMA BioCenters”), we operate two United States Food and Drug Administration (the “FDA”)-licensed, German Health Authority (“GHA”) and Korean Ministry of Food and Drug Safety (“KMFD”)certified source plasma collection facilities located in the U.S., which provide us with a portion of our blood plasma for the manufacture of our products and product candidates.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U.S., in other locations where we are approved globally under supply agreements or in the open "spot" market.</w:t>
      </w:r>
    </w:p>
    <w:p>
      <w:pPr>
        <w:spacing w:after="0" w:line="19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June 6, 2017, we completed the acquisition of certain assets (the “Biotest Assets”) of the Therapy Business Unit (“BTBU”) of Biotest Pharmaceuticals Corporation (“BPC” and, together with Biotest AG, “Biotest”), which include two FDA-licensed products, Nabi-HB (Hepatitis B Immune Globulin, Human) and Bivigam (Immune Globulin Intravenous, Human), and a plasma fractionation facility located in Boca Raton, FL (the “Boca Facility”) (the “Biotest Transaction”). The Boca Facility is FDA-licensed and certified by the GHA. In addition to the manufacture and sale of Nabi-HB and Bivigam, we also provide contract manufacturing services for certain historical clients, including the sale of intermediate by-products. Immediately following the acquisition, the Biotest Assets were contributed into our subsidiary, ADMA BioManufacturing, LLC (“ADMA BioManufacturing”).</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0" w:name="page51"/>
    <w:bookmarkEnd w:id="50"/>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Concurrent with the closing of the Biotest Transaction, Biotest committed to an aggregate of $40.0 million of funding for the Company. Upon the closing of the Biotest Transaction, we received $27.5 million in cash from Biotest, consisting of $12.5 million in cash and $15.0 million from a subordinated note at 6% interest payable to BPC with a maturity of five years. At the closing of the Biotest Transaction, we delivered to BPC an aggregate equity interest equal to 50%, less one share, of our then-issued and outstanding capital stock comprised of 25%, or 4,295,580 shares, of our voting common stock, $0.0001 par value per share (“Common Stock”), and 8,591,160 shares in the form of our non-voting common stock, $0.0001 par value per share (“Non-Voting Common Stock”) (calculated as of immediately following the closing and on a post-closing issuance basis). The Non-Voting Common Stock is convertible into our Common Stock upon the occurrence of certain specified events.</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As part of their commitment under the Biotest Transaction, Biotest participated in our November 2017 follow-on public offering of our Common Stock and invested $12.5 million of the $42.0 million of total gross proceeds from the offering (see “Liquidity and Capital Resources”). As a result, Biotest currently owns 41.3% of our total issued and outstanding capital stock, comprised of 10,109,534 shares, or 27.5%, of our Common Stock and 8,591,160 shares, or 100%, of our Non-Voting Common Stock.</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February 15, 2018, Dr. Bernhard Ehmer notified us that he has resigned as a member of our Board of Directors (the “Board”). This resignation was precipitated by certain commitments made by Biotest with the Committee on Foreign Investment in the United States (“CFIUS”) in connection with a transaction unrelated to the Company. There was no disagreement between Dr. Ehmer and us on any matter related to our operations, policies or practices. Dr. Ehmer had served as a member of our Board since June 2017 and did not hold any positions on any committee of the Board. Also on February 15, 2018, we received notification from Michael Ramroth that he has resigned as an observer of the Board, effective immediately. This resignation was also precipitated by certain commitments made by Biotest with CFIUS in connection with a transaction unrelated to the Company. Mr. Ramroth had served as a Board observer since June 2017. Pursuant to the terms of that certain Stockholders Agreement, dated as of June 6, 2017, by and between the Company and BPC, BPC holds the right to designate (i) one person as a nominee to the Board, subject to Board approval, and (ii) one person as a Board observer.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Marketed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Nabi-HB</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to infants born to HBsAg-positive mothers, sexual exposure to HBsAg-positive persons and household exposure to persons with acute Hepatitis B virus infection.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FDA approval for Nabi-HB was received on March 24, 1999. Biotest acquired Nabi-HB from Nabi Biopharmaceuticals in 2007. Production of Nabi-HB at the Boca Facility has continued since the third quarter of 2017. Subsequent to the end of 2017, we received authorization from the FDA for the release of our first commercial batch of Nabi-HB for commercial distribution in the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Bivigam</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Bivigam is an intravenous immune globulin indicated for the treatment of primary humoral immunodeficiency. This includes, but is not limited to, agammaglobulinemia, common variable immunodeficiency, Wiskott-Aldrich syndrome and severe combined immunodeficiency. These primary immunodeficiencies (“PIs”) are a group of genetic disorders. Initially thought to be very rare, it is now believed that as many as one in every 1,200-2,000 people has some form of PI. Bivigam contains a broad range of antibodies similar to those found in normal human plasma. These antibodies are directed against bacteria and viruses, and help to protect PI patients against serious infections. Bivigam is a purified, sterile, ready-to-use preparation of concentrated Immunoglobulin (“IgG”) antibodies. Antibodies are proteins in the human immune system that work to defend against disease. FDA approval for Bivigam was received on December 19, 2012, and sales commenced in the first quarter of 2013. In December 2016, BPC temporarily suspended the commercial production of Bivigam in order to focus on the completion of planned improvements to the manufacturing process. We resumed production of Bivigam utilizing our optimized intravenous immunoglobulin (“IVIG”) manufacturing process with two conformance lots in the fourth quarter of 2017 and a third conformance lot in the first quarter of 2018. Subsequent to the end of 2017, we qualified and filled these Bivigam conformance batches and the product is on stability. We expect to file a Prior Approval Supplement (the “PAS”) with the FDA during the first half of 2018 and are seeking FDA clearance which would enable us to relaunch this product during the second half of 2018.</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1" w:name="page52"/>
    <w:bookmarkEnd w:id="51"/>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Lead Pipeline Product Candidate – RI-002</w:t>
      </w:r>
    </w:p>
    <w:p>
      <w:pPr>
        <w:spacing w:after="0" w:line="229"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We are currently developing our lead pipeline product candidate, RI-002, for the treatment of PIDD, and have completed a pivotal Phase III clinical trial, which met the primary endpoint of no Serious Bacterial Infections reported. Secondary efficacy endpoints further demonstrated the benefits of RI-002 in the low incidence of infection, therapeutic antibiotic use, days missed from work/school/daycare, and unscheduled medical visits and hospitalizations. RI-002 is derived from human plasma blended from normal donors and from donors tested to have high levels of neutralizing titers to Respiratory Syncytial Virus (“RSV”). RI-002 is manufactured using a process known as fractionation, which purifies IgG from this blended plasma pool resulting in a final IVIG product enriched with naturally occurring polyclonal anti-pathogen antibodies, such as streptococcus pneumonia, H. influenza type B, Cytomegalovirus, measles and tetanus. We use our proprietary RSV microneutralization assay to test for standardized levels of neutralizing antibodies to RSV in the final drug product.</w:t>
      </w:r>
    </w:p>
    <w:p>
      <w:pPr>
        <w:spacing w:after="0" w:line="17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Prior to the closing of the Biotest Transaction, BTBU was our third-party manufacturer for RI-002. In the third quarter of 2015, the FDA accepted for review our Biologics License Application for RI-002 (the “BLA”) for the treatment of PIDD. In July 2016, the FDA issued a Complete Response Letter (the “CRL”), which reaffirmed the issues set forth in the November 2014 warning letter that had been issued by the FDA to Biotest related to certain issues identified at the Boca Facility (the “Warning Letter”), but did not cite any concerns with the clinical safety or efficacy data for RI-002 submitted in our BLA, nor did the FDA request any additional clinical studies be completed prior to FDA approval of RI-002. The FDA identified in the CRL, among other things, certain outstanding inspection issues and deficiencies related to Chemistry, Manufacturing and Controls and Good Manufacturing Practices at the Boca Facility and at certain of our third-party vendors, and requested documentation of corrections for a number of these issues. The FDA indicated in the CRL that it cannot grant final approval of our BLA until, among other things, these deficiencies are resolved. Following the completion of the Biotest Transaction, we now have control over the regulatory, quality, general operations and drug substance manufacturing process and our highest priority is to remediate the outstanding compliance issues that were identified at the Boca Facility in the Warning Letter. We have been working with a consulting firm consisting of quality management systems and biologics production subject matter experts in preparation for a re-inspection by the FDA in order to improve the FDA inspection classification relative to the Warning Letter compliance issues as indicated in the CRL. We believe that we have been inspection-ready for the FDA since the end of 2017. Once the Warning Letter status is improved following an FDA inspection, we anticipate that we will be in a position to refile our BLA for RI-002 in the second half of 2018. Subsequent to the end of 2017, we produced three conformance lots using the optimized IVIG manufacturing process, and these batches are expected to be filled and finished during the second quarter of 2018 and will then be placed on stability.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Plasma Collection Facilities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ADMA BioCenters operates two FDA-licensed, GHA and KMFD certified source plasma collection facilities located in the U.S., which provide us with a portion of our blood plasma for the manufacture of our products and product candidates.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U.S., and other locations where we are approved globally under supply agreements or in the open "spot" market.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2" w:name="page53"/>
    <w:bookmarkEnd w:id="52"/>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part of the purchase price to acquire the Biotest Assets, we have agreed to transfer ownership of two of our plasma collection facilities to BPC on January 1, 2019. We completed the construction of our third plasma collection facility, filed our Biologics License Application with the FDA and initiated collections for this facility in December 2017. We anticipate FDA approval of our third plasma collection facility to occur during the second half of 2018.</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policies and their application are considered to be critical to understanding our business operations, financial condition and results of operations. For a detailed discussion on the application of these and our other accounting policies, see Note 2 to the Consolidated Financial Statements included elsewhere in this Annual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Revenues for the year ended December 31, 2017 are comprised of (i) revenues from Nabi-HB, (ii) product revenues from the sale of human plasma collected from our plasma collection centers segment, (iii) a compensation fee related to the amendment of our contract manufacturing agreement with Sanofi Pasteur S.A. (“Sanofi”); and (iv) license and other revenues primarily attributable to the out-licensing of RI-002 to Biotest to market and sell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recognized over the term of the Biotest license. Deferred revenue is amortized into income for a period of approximately 22 years, the term of the Biotest license agreement.</w:t>
      </w:r>
    </w:p>
    <w:p>
      <w:pPr>
        <w:spacing w:after="0" w:line="18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Revenue from the sale of Nabi-HB is recognized when the product reaches the customer’s destination. Nabi-HB revenue is recorded net of estimated customer prompt pay discounts and contractual allowances in accordance with managed care agreements, including wholesaler chargebacks, rebates, customer returns and other wholesaler fees.</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Product revenues from the sale of human plasma collected at our plasma collection centers are recognized at the time of transfer of title and risk of loss to the customer, which generally occurs at the time of shipment. Product revenues are recognized at the time of delivery if the Company retains the risk of loss during shipment.</w:t>
      </w:r>
    </w:p>
    <w:p>
      <w:pPr>
        <w:spacing w:after="0" w:line="17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2017, BPC represented 47% of our consolidated revenues, and the revenue attributable to the amendment of a contract manufacturing agreement represented 31% of our consolidated revenues. For the year ended December 31, 2016, BPC and another customer represented approximately 82% and 14%, respectively, of our consolidated revenues.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3" w:name="page54"/>
    <w:bookmarkEnd w:id="53"/>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are reported at realizable value, net of allowances for contractual credits and doubtful accounts, which are recognized in the period the related revenue is recorded. At December 31, 2017, Sanofi accounted for 48% of our total accounts receivable and Sanofi, BPC, AmerisourceBergen and McKesson Corporation accounted for 96% of consolidated accounts receivable. At December 31, 2016, BPC accounted for 95% of our total accounts receivable.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Expenses associated with remediating the issues identified in the Warning Letter for the year ended December 31, 2017 of approximately $3.8 million are expensed as incurred and are reflected in cost of product revenue. In addition, for the year ended December 31, 2017, all operating expenses associated with the Boca Facility, other than the limited Nabi-HB production that was capitalized into inventory, have been expensed as incurred since the date of the Biotest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Stock-based compensation cost is measured at the grant date, based on the estimated fair value of the award, and is recognized as expense over the grantee’s requisite vesting period on a straight-line basis. For the purpose of valuing stock options granted to our employees, directors and officers, we use the Black-Scholes option pricing model. We granted options to purchase an aggregate of 3,276,043 and 1,535,187 shares of Common Stock during the years ended December 31, 2017 and 2016, respectively. To determine the risk-free interest rate, we utilized the U.S. Treasury yield curve in effect at the time of the grant with a term consistent with the expected term of our awards. The expected term of the options granted is in accordance with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pro rata historical volatilities for similar publicly traded industry peers and the trading history for our Common Stock. We will continue to analyze the expected stock price volatility and expected term assumptions and will adjust our Black-Scholes option pricing assumptions as appropriate. In accordance with Accounting Standards Update (“ASU”) No. 2016-09, </w:t>
      </w:r>
      <w:r>
        <w:rPr>
          <w:rFonts w:ascii="Times New Roman" w:cs="Times New Roman" w:eastAsia="Times New Roman" w:hAnsi="Times New Roman"/>
          <w:sz w:val="18"/>
          <w:szCs w:val="18"/>
          <w:i w:val="1"/>
          <w:iCs w:val="1"/>
          <w:color w:val="auto"/>
        </w:rPr>
        <w:t>Improvements to Employee Share-Based Payment Accounting (Topic 718)</w:t>
      </w:r>
      <w:r>
        <w:rPr>
          <w:rFonts w:ascii="Times New Roman" w:cs="Times New Roman" w:eastAsia="Times New Roman" w:hAnsi="Times New Roman"/>
          <w:sz w:val="18"/>
          <w:szCs w:val="18"/>
          <w:color w:val="auto"/>
        </w:rPr>
        <w:t>, we have elected not to establish a forfeiture rate, as stock-based compensation expense related to forfeitures of unvested stock options is fully reversed at the time of forfeiture.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(“R&amp;D”) costs are expensed as incurred, including costs associated with (i) planning and conducting clinical trials;</w:t>
      </w:r>
    </w:p>
    <w:p>
      <w:pPr>
        <w:spacing w:after="0" w:line="27" w:lineRule="exact"/>
        <w:rPr>
          <w:sz w:val="20"/>
          <w:szCs w:val="20"/>
          <w:color w:val="auto"/>
        </w:rPr>
      </w:pPr>
    </w:p>
    <w:p>
      <w:pPr>
        <w:ind w:right="200" w:firstLine="8"/>
        <w:spacing w:after="0" w:line="261"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product manufacturing for RI-002, including the cost of plasma, plasma storage and transportation costs; (iii) quality testing, validation, regulatory consulting and filing fees; and (iv) employees’ compensation expenses directly related to R&amp;D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assess the recoverability of its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value is recoverable. Any resulting impairment is recorded as a reduction in the carrying value of the related asset in excess of fair value and a charge to operating results. For the year ended December 31, 2017, we recorded an impairment charge in the amount of $0.8 million related to assets acquired in the Biotest Transaction. For the year ended December 31, 2016, we determined that there was no impairment of its long-lived assets.</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its reporting unit is less than its carrying amount, including goodwill and other intangible assets. If we were to conclude that this is the case, then we must perform a goodwill impairment test by comparing the fair value of the reporting unit to its carrying value. An impairment charge is recorded to the extent the reporting unit’s carrying value exceeds its fair value, with the impairment loss recognized not to exceed the total amount of goodwill allocated to that reporting unit. We did not recognize any impairment charges related to goodwill for the year ending December 31, 2017.</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4" w:name="page55"/>
    <w:bookmarkEnd w:id="54"/>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April 5, 2012, the Jumpstart Our Business Startups Act (the “JOBS Act”), was signed into law. The JOBS Act contains provisions that, among other things, reduce certain reporting requirements for qualifying public companies. We could be an emerging growth company until December 31, 2018, which is the last day of the fiscal year following the fifth anniversary of the first sale of our common equity securities pursuant to an effective registration statement under the Securities Act of 1933, as amended (the “Securities Act”). However, if certain events occur prior to the end of such five-year period, including if we become a “large accelerated filer,” our annual gross revenues exceed $1 billion or we issue more than $1 billion of non-convertible debt in any three-year period, we would cease to be an emerging growth company prior to the end of such five-year period. As an “emerging growth company,” we may, under Section 7(a)(2)(B) of the Securities Act, delay adoption of new or revised accounting standards applicable to public companies until such standards would otherwise apply to private companies. We may take advantage of this extended transition period until the first to occur of the date that we (i) are no longer an “emerging growth company” or (ii) affirmatively and irrevocably opt out of this extended transition period. We have elected to take advantage of the benefits of this extended transition period. Our consolidated financial statements may therefore not be comparable to those of companies that comply with such new or revised accounting standards. Until the date that we are no longer an “emerging growth company” or affirmatively and irrevocably opt out of the exemption provided by Securities Act Section 7(a)(2)(B),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 As an emerging growth company, we are also exempt from the requirement to have our independent auditors provide an attestation report on our internal control over financial reporting.</w:t>
      </w:r>
    </w:p>
    <w:p>
      <w:pPr>
        <w:spacing w:after="0" w:line="19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May 2017, the Financial Accounting Standards Board (the “FASB”) issued Accounting Standards Update (“ASU”) No. 2017-09, </w:t>
      </w:r>
      <w:r>
        <w:rPr>
          <w:rFonts w:ascii="Times New Roman" w:cs="Times New Roman" w:eastAsia="Times New Roman" w:hAnsi="Times New Roman"/>
          <w:sz w:val="18"/>
          <w:szCs w:val="18"/>
          <w:i w:val="1"/>
          <w:iCs w:val="1"/>
          <w:color w:val="auto"/>
        </w:rPr>
        <w:t>Modification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Share-Based Payment Arrangements</w:t>
      </w:r>
      <w:r>
        <w:rPr>
          <w:rFonts w:ascii="Times New Roman" w:cs="Times New Roman" w:eastAsia="Times New Roman" w:hAnsi="Times New Roman"/>
          <w:sz w:val="18"/>
          <w:szCs w:val="18"/>
          <w:color w:val="auto"/>
        </w:rPr>
        <w:t>, which amends the scope of modification accounting for share-based payment arrangements. The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Early adoption is permitted, including adoption in any interim period. We do not expect this new guidance to have a material impact on our consolidated financial statements.</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2017-01, </w:t>
      </w:r>
      <w:r>
        <w:rPr>
          <w:rFonts w:ascii="Times New Roman" w:cs="Times New Roman" w:eastAsia="Times New Roman" w:hAnsi="Times New Roman"/>
          <w:sz w:val="18"/>
          <w:szCs w:val="18"/>
          <w:i w:val="1"/>
          <w:iCs w:val="1"/>
          <w:color w:val="auto"/>
        </w:rPr>
        <w:t>Business Combinations – Clarifying the Definition of a Business</w:t>
      </w:r>
      <w:r>
        <w:rPr>
          <w:rFonts w:ascii="Times New Roman" w:cs="Times New Roman" w:eastAsia="Times New Roman" w:hAnsi="Times New Roman"/>
          <w:sz w:val="18"/>
          <w:szCs w:val="18"/>
          <w:color w:val="auto"/>
        </w:rPr>
        <w:t>, which clarifies the definition of a business to assist entities with evaluating whether transactions should be accounted for as acquisitions or disposals of assets or businesses. The standard introduces a screen for determining when assets acquired are not a business and clarifies that a business must include, at a minimum, an input and a substantive process that contribute to an output to be considered a business. This standard is effective for fiscal years beginning after December 15, 2017, including interim periods within that reporting period. We adopted this standard in the second quarter of 2017, and the adoption of this standard did not have a material impact on our consolidated financial statements as of and for the year ended December 31, 2017.</w:t>
      </w:r>
    </w:p>
    <w:p>
      <w:pPr>
        <w:spacing w:after="0" w:line="183"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(Topic 350)</w:t>
      </w:r>
      <w:r>
        <w:rPr>
          <w:rFonts w:ascii="Times New Roman" w:cs="Times New Roman" w:eastAsia="Times New Roman" w:hAnsi="Times New Roman"/>
          <w:sz w:val="18"/>
          <w:szCs w:val="18"/>
          <w:color w:val="auto"/>
        </w:rPr>
        <w:t>, which removes the requirement to compare the implied fair value of goodwill with its carrying amount as part of step 2 of the goodwill impairment test. As a result, under the ASU,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The ASU is effective prospectively for fiscal years beginning after December 15, 2019. Early adoption is permitted for interim or annual goodwill impairment tests performed on testing dates after January 1, 2017. We adopted ASU 2017-04 in the fourth quarter of 2017, and adoption of this update did not have a material impact on our consolidated financial statements as of and for the year ended December 31, 2017.</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5" w:name="page56"/>
    <w:bookmarkEnd w:id="55"/>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4"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which clarifies guidance and presentation related to restricted cash in the statement of cash flows, including stating that restricted cash should be included within cash and cash equivalents in the statement of cash flows. The standard is effective for fiscal years beginning after December 15, 2017, with early adoption permitted, and is to be applied retrospectively. We adopted this standard in the fourth quarter of 2017, and adoption of this update did not have a material impact on our consolidated financial statements as of and for the years ended December 31, 2017 and 2016.</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Improvements to Employee Share-Based Payment Accounting (Topic 718)</w:t>
      </w:r>
      <w:r>
        <w:rPr>
          <w:rFonts w:ascii="Times New Roman" w:cs="Times New Roman" w:eastAsia="Times New Roman" w:hAnsi="Times New Roman"/>
          <w:sz w:val="18"/>
          <w:szCs w:val="18"/>
          <w:color w:val="auto"/>
        </w:rPr>
        <w:t>, which provides for simplification of certain aspects of employee share-based payment accounting including income taxes, classification of awards as either equity or liabilities, accounting for forfeitures and classification on the statement of cash flows. We adopted this standard in the first quarter of 2017, and the adoption of this standard did not have a material impact on our consolidated financial statements as of and for the year ended December 31, 2017.</w:t>
      </w:r>
    </w:p>
    <w:p>
      <w:pPr>
        <w:spacing w:after="0" w:line="180"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lessees to recognize assets and liabilities for the rights and obligations created by most leases on their balance sheet. The guidance is effective for fiscal years beginning after December 15, 2018, including interim periods within those fiscal years. Early application is permitted. ASU 2016-02 requires modified retrospective adoption for all leases existing at, or entered into after, the date of initial application, with an option to use certain transition relief. We are currently evaluating the impact that the standard may have on our consolidated financial statements and related disclosures.</w:t>
      </w:r>
    </w:p>
    <w:p>
      <w:pPr>
        <w:spacing w:after="0" w:line="180" w:lineRule="exact"/>
        <w:rPr>
          <w:sz w:val="20"/>
          <w:szCs w:val="20"/>
          <w:color w:val="auto"/>
        </w:rPr>
      </w:pPr>
    </w:p>
    <w:p>
      <w:pPr>
        <w:jc w:val="both"/>
        <w:ind w:right="60" w:firstLine="648"/>
        <w:spacing w:after="0" w:line="270" w:lineRule="auto"/>
        <w:rPr>
          <w:sz w:val="20"/>
          <w:szCs w:val="20"/>
          <w:color w:val="auto"/>
        </w:rPr>
      </w:pPr>
      <w:r>
        <w:rPr>
          <w:rFonts w:ascii="Times New Roman" w:cs="Times New Roman" w:eastAsia="Times New Roman" w:hAnsi="Times New Roman"/>
          <w:sz w:val="17"/>
          <w:szCs w:val="17"/>
          <w:color w:val="auto"/>
        </w:rPr>
        <w:t xml:space="preserve">In November 2015, the FASB issued ASU No. 2015-17, </w:t>
      </w:r>
      <w:r>
        <w:rPr>
          <w:rFonts w:ascii="Times New Roman" w:cs="Times New Roman" w:eastAsia="Times New Roman" w:hAnsi="Times New Roman"/>
          <w:sz w:val="17"/>
          <w:szCs w:val="17"/>
          <w:i w:val="1"/>
          <w:iCs w:val="1"/>
          <w:color w:val="auto"/>
        </w:rPr>
        <w:t>Income Taxes (Topic 740), Balance Sheet Classification of Deferred Taxes</w:t>
      </w:r>
      <w:r>
        <w:rPr>
          <w:rFonts w:ascii="Times New Roman" w:cs="Times New Roman" w:eastAsia="Times New Roman" w:hAnsi="Times New Roman"/>
          <w:sz w:val="17"/>
          <w:szCs w:val="17"/>
          <w:color w:val="auto"/>
        </w:rPr>
        <w:t>, which includes amendments that require deferred tax liabilities and assets be classified as non-current in a classified statement of financial position. The amendments in this ASU are effective for financial statements issued for annual periods beginning after December 15, 2017, and interim periods within annual periods beginning after December 15, 2018. Earlier application is permitted as of the beginning of an interim or annual reporting period. The amendments may be applied either prospectively to all deferred tax liabilities and assets or retrospectively to all periods presented. We adopted this standard in the second quarter of 2017.</w:t>
      </w:r>
    </w:p>
    <w:p>
      <w:pPr>
        <w:spacing w:after="0" w:line="1"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Because we carry a full valuation allowance against our deferred tax assets as of December 31, 2017 and 2016, adoption of this standard did not have a material impact on our consolidated financial statements.</w:t>
      </w:r>
    </w:p>
    <w:p>
      <w:pPr>
        <w:spacing w:after="0" w:line="17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September 2015, the FASB issued ASU No. 2015-16, </w:t>
      </w:r>
      <w:r>
        <w:rPr>
          <w:rFonts w:ascii="Times New Roman" w:cs="Times New Roman" w:eastAsia="Times New Roman" w:hAnsi="Times New Roman"/>
          <w:sz w:val="18"/>
          <w:szCs w:val="18"/>
          <w:i w:val="1"/>
          <w:iCs w:val="1"/>
          <w:color w:val="auto"/>
        </w:rPr>
        <w:t>Business Combinations (Topic 805), Simplifying the Accounting for Measurement-Period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which includes amendments that require an acquirer to recognize adjustments to provisional amounts that are identified during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the reporting period in which the adjustment amounts are determined. The amendments in this ASU require that the acquirer record, in the same period’s financial statements, the effect on earnings of changes in depreciation, amortization, or other income effects, if any, as a result of the changes to the provisional amounts, calculated as if the accounting had been completed at the acquisition date. The amendments in this ASU require an entity to present separately on the face of the income statement or disclose in the notes the portion of the amount recorded in current period earnings by line item that would have been recorded in previous reporting periods if the adjustment to the provisional amounts had been recognized as of the acquisition date. The amendments in this ASU are effective for fiscal years beginning after December 15, 2016, and interim periods within fiscal years beginning after December 15, 2017. The amendments should be applied prospectively to adjustments to provisional amounts that occur after the effective date of the ASU with earlier application permitted for financial statements that have not yet been made available for issuance. We adopted this standard in the first quarter of 2017, and the adoption of this standard did not have a material impact on our consolidated financial statements as of and for the year ended December 31, 2017.</w:t>
      </w:r>
    </w:p>
    <w:p>
      <w:pPr>
        <w:spacing w:after="0" w:line="193"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July 2015, the FASB issued ASU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The standard requires entities to measure most inventory “at the lower of cost and net realizable value,” thereby simplifying the current guidance under which an entity must measure inventory at the lower of cost or market (market in this context is defined as one of three different measures, one of which is net realizable value). We adopted this standard in the first quarter of 2017, and the adoption of this standard did not have a material impact on our consolidated financial statements as of and for the year ended December 31, 2017.</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6" w:name="page57"/>
    <w:bookmarkEnd w:id="56"/>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new guidance related to revenue recognition, ASU 2014-09, </w:t>
      </w:r>
      <w:r>
        <w:rPr>
          <w:rFonts w:ascii="Times New Roman" w:cs="Times New Roman" w:eastAsia="Times New Roman" w:hAnsi="Times New Roman"/>
          <w:sz w:val="18"/>
          <w:szCs w:val="18"/>
          <w:i w:val="1"/>
          <w:iCs w:val="1"/>
          <w:color w:val="auto"/>
        </w:rPr>
        <w:t>Revenue from Contracts with Customers (“ASC 606”)</w:t>
      </w:r>
      <w:r>
        <w:rPr>
          <w:rFonts w:ascii="Times New Roman" w:cs="Times New Roman" w:eastAsia="Times New Roman" w:hAnsi="Times New Roman"/>
          <w:sz w:val="18"/>
          <w:szCs w:val="18"/>
          <w:color w:val="auto"/>
        </w:rPr>
        <w:t>, which outlines a comprehensive revenue recognition model and supersedes most current revenue recognition guidance. The new guidance requires a company to recognize revenue upon transfer of goods or services to a customer at an amount that reflects the expected consideration to be received in exchange for those goods or services. ASC 606 defines a five-step approach for recognizing revenue, which may require a company to use more judgment and make more estimates than under the current guidance. The new guidance becomes effective in calendar year 2018 and early adoption in calendar year 2017 is permitted. Two methods of adoption are permitted: (a) full retrospective adoption, meaning the standard is applied to all periods presented; or (b) modified retrospective adoption, meaning the cumulative effect of applying the new guidance is recognized at the date of initial application as an adjustment to the opening retained earnings balance.</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2016, April 2016 and December 2016, the FASB issued ASU No. 2016-08, </w:t>
      </w:r>
      <w:r>
        <w:rPr>
          <w:rFonts w:ascii="Times New Roman" w:cs="Times New Roman" w:eastAsia="Times New Roman" w:hAnsi="Times New Roman"/>
          <w:sz w:val="18"/>
          <w:szCs w:val="18"/>
          <w:i w:val="1"/>
          <w:iCs w:val="1"/>
          <w:color w:val="auto"/>
        </w:rPr>
        <w:t>Revenue From Contracts with Customers (ASC 606):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Versus Agent Considerations</w:t>
      </w:r>
      <w:r>
        <w:rPr>
          <w:rFonts w:ascii="Times New Roman" w:cs="Times New Roman" w:eastAsia="Times New Roman" w:hAnsi="Times New Roman"/>
          <w:sz w:val="18"/>
          <w:szCs w:val="18"/>
          <w:color w:val="auto"/>
        </w:rPr>
        <w:t>, ASU No. 2016-10,</w:t>
      </w:r>
      <w:r>
        <w:rPr>
          <w:rFonts w:ascii="Times New Roman" w:cs="Times New Roman" w:eastAsia="Times New Roman" w:hAnsi="Times New Roman"/>
          <w:sz w:val="18"/>
          <w:szCs w:val="18"/>
          <w:i w:val="1"/>
          <w:iCs w:val="1"/>
          <w:color w:val="auto"/>
        </w:rPr>
        <w:t xml:space="preserve"> Revenue From Contracts with Customers (ASC 606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Identifying Performance Obligations and Licensing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ASU No. 2016-20, </w:t>
      </w:r>
      <w:r>
        <w:rPr>
          <w:rFonts w:ascii="Times New Roman" w:cs="Times New Roman" w:eastAsia="Times New Roman" w:hAnsi="Times New Roman"/>
          <w:sz w:val="18"/>
          <w:szCs w:val="18"/>
          <w:i w:val="1"/>
          <w:iCs w:val="1"/>
          <w:color w:val="auto"/>
        </w:rPr>
        <w:t>Technical Corrections and Improvements to Topic 606, Revenue From Contracts with Customers</w:t>
      </w:r>
      <w:r>
        <w:rPr>
          <w:rFonts w:ascii="Times New Roman" w:cs="Times New Roman" w:eastAsia="Times New Roman" w:hAnsi="Times New Roman"/>
          <w:sz w:val="18"/>
          <w:szCs w:val="18"/>
          <w:color w:val="auto"/>
        </w:rPr>
        <w:t xml:space="preserve">, respectively, which further clarify the implementation guidance on principal versus agent considerations contained in ASU No. 2014-09. In May 2016, the FASB issued ASU 2016-12,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narrow-scope improvements and practical expedients that provide clarification on assessing the collectability criterion,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of sales taxes, measurement date for non-cash consideration and completed contracts at transition. These standards became effective for the Company in the first quarter of 2018.</w:t>
      </w:r>
    </w:p>
    <w:p>
      <w:pPr>
        <w:spacing w:after="0" w:line="185"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will adopt the new standard and related updates effective January 1, 2018, using the modified retrospective method of adoption. Based on our review of the terms and conditions of our existing customer contracts and applying the five discrete criteria required for recognizing revenue as set forth in ASU 2014-09, we do not expect the new revenue recognition guidance to have a material impact on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2017 Compared to December 31, 2016</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results of operations for the year ended December 31, 2017 reflect the results of operations attributable to the Biotest Assets effective as of June 6, 2017. As a result, our operating results for the year ended December 31, 2017 are generally not comparable to our operating results for the year ended December 31, 2016. The following table presents a summary of the changes in our results of operations for the year ended December 31, 2017 as compared to December 31,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38"/>
        </w:trPr>
        <w:tc>
          <w:tcPr>
            <w:tcW w:w="6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Increase/</w:t>
            </w:r>
          </w:p>
        </w:tc>
      </w:tr>
      <w:tr>
        <w:trPr>
          <w:trHeight w:val="223"/>
        </w:trPr>
        <w:tc>
          <w:tcPr>
            <w:tcW w:w="6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720" w:type="dxa"/>
            <w:vAlign w:val="bottom"/>
            <w:tcBorders>
              <w:bottom w:val="single" w:sz="8" w:color="CCEEFF"/>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22,760,560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10,661,037</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product revenue (exclusive of amortization expense shown below)</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29,164,321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6,360,761</w:t>
            </w: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(6,403,761)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4,300,276</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6,229,587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7,688,238</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6,503,750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5,447,691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845,389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1,234,674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18,092,835</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8,494,742</w:t>
            </w: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(39,309,996)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(17,330,395)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(3,285,847)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(2,239,569)</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(1,163,132)</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54,813</w:t>
            </w:r>
          </w:p>
        </w:tc>
        <w:tc>
          <w:tcPr>
            <w:tcW w:w="1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(43,758,975)</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(19,515,151)</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7" w:name="page58"/>
    <w:bookmarkEnd w:id="57"/>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recorded total revenues of $22.8 million for the year ended December 31, 2017, as compared to $10.7 million for the year ended December 31, 2016. The increase in total revenue of $12.1 million is primarily due to: (i) sales of Nabi-HB in the amount of $4.0 million for 2017, with no comparable amount in 2016, (ii) $7.0 million of revenue related to an amendment to the Sanofi Manufacturing Agreement (as defined below) that we assumed as part of the Biotest Transaction; and (iii) an increase in sales of plasma attributable to our ADMA BioCenters plasma collection centers segment of $1.1 million in 2017 due to higher collection volume.</w:t>
      </w:r>
    </w:p>
    <w:p>
      <w:pPr>
        <w:spacing w:after="0" w:line="18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September 2011, BPC entered into a manufacturing agreement, as subsequently amended, with Sanofi (the “Manufacturing Agreement”) in which Sanofi purchased from BPC specific Batches (as defined therein) of purified Rabies Fraction II Paste manufactured from human plasma containing rabies antibodies (the “Product”). The number of Batches of Product purchased by Sanofi under the Manufacturing Agreement vary from year to year and are subject to certain minimum purchase requirements by Sanofi. In the event that Sanofi fails to purchase any quantity of Product as part of its Firm Purchase Commitment (as defined under the Manufacturing Agreement), Sanofi is required to pay us, as the successor-in-interest to BPC, for the number of Batches not purchased in any given year. In addition, under the Manufacturing Agreement, damages are owed to Sanofi in the event the minimum Batch amounts are not manufactured or fail to comply with the supply plan and an escalating low single digit to low double digit percentage discount is applied to Batches which are delayed. The Manufacturing Agreement contains customary representations and warranties, mutual confidentiality provisions and mutual indemnification provisions subject to limitations of liability, and continues in effect for up to two years from the date of termination of the human Rabies Hyperimmune Plasma agreement between Sanofi and BPC.</w:t>
      </w:r>
    </w:p>
    <w:p>
      <w:pPr>
        <w:spacing w:after="0" w:line="18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December 2017, we further amended the Manufacturing Agreement to modify the number of Batches of Product which Sanofi is to purchase from us in 2018 and 2019 and to update the supply plan which describes the agreed-upon timing for production of such Batches of Product. Pursuant to this third amendment to the Manufacturing Agreement, we are liable to Sanofi for liquidated damages in the event that we fail to supply a minimum number of Batches of Product or in the event we fail to adhere to the updated supply plan. Furthermore, pursuant to this third amendment to the Manufacturing Agreement, in consideration for certain quantities of Product that we would have otherwise been contractually obligated to supply, and that Sanofi would have been contractually obligated to purchase, prior to entry into such amendment, Sanofi agreed to pay us a one-time compensation fee in the aggregate amount of $7.0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Cost of product revenue was $29.2 million for the year ended December 31, 2017, as compared to $6.4 million for the year ended December 31, 2016, an increase of $22.8 million. The increase is mainly attributable to unabsorbed manufacturing costs related to the Boca Facility of $12.8 million, third party consultant fees pertaining to the remediation efforts in response to the Warning Letter in the amount of $3.8 million, cost of product revenue related to Nabi-HB in the amount of $3.3 million, $1.6 million of production costs incurred in the fourth quarter of 2017 related to of two lots of Bivigam and a sales volume-related increase at ADMA BioCenters of $0.9 million.</w:t>
      </w:r>
    </w:p>
    <w:p>
      <w:pPr>
        <w:spacing w:after="0" w:line="18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Cost of product revenue related to Nabi-HB reflects the sale of inventory acquired in the Biotest Transaction, which has been carried on our consolidated balance sheet at its estimated fair value. As this inventory is liquidated in the normal course of business and replaced with inventory produced subsequent to the date of the Biotest Transaction, we expect that the margins for Nabi-HB will be higher in future periods as compared to those realized during the year ended December 31, 2017.</w:t>
      </w:r>
    </w:p>
    <w:p>
      <w:pPr>
        <w:spacing w:after="0" w:line="18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Although we expect that our Bivigam inventory will ultimately be available for commercial sale, we have established an allowance for all of this inventory in the amount of $1.6 million at December 31, 2017, due to uncertainties surrounding the Warning Letter and the PAS related to improvements in the manufacturing process that must be filed with and approved by the FDA prior to this inventory being available for commercial sale.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R&amp;D expenses were $6.2 million for the year ended December 31, 2017, a decrease of $1.4 million as compared to the same period of a year ago. The decrease is primarily the result of lower validation, testing, BLA and production costs related to RI-002 in 2017. Once we have further clarity from the FDA regarding the timing of our expected BLA resubmission and anticipated RI-002 approval, we would then expect our R&amp;D costs to increase.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8" w:name="page59"/>
    <w:bookmarkEnd w:id="58"/>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Plasma Center Expenses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Plasma center expenses were $6.5 million for the year ended December 31, 2017, an increase of $1.1 million from the $5.4 million of plasma center expenses for the year ended December 31, 2016. The increase in plasma center expenses is attributable to hiring additional staff and increasing the hours of operations at our Marietta, GA location during the first quarter of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(“SG&amp;A”) were $18.1 million for the year ended December 31, 2017, an increase of $9.6 million as compared to the year ended December 31, 2016. The year ended December 31, 2017 reflects $5.9 million of SG&amp;A expenses associated with BTBU with no comparable amounts in 2016, and Biotest Transaction costs of $3.9 million, including fees paid for legal, accounting and financial advisory services related to due diligence and other costs associated with the acquisition of the Biotest Assets and the issuance of a fairness opinion, as compared to $1.9 million for the year ended December 31, 2016. SG&amp;A expenses in 2017 also include $0.3 million of one-time compensation expense associated with the Biotest Transaction, an increase in insurance expense of $0.5 million associated with the acquisition of the Biotest Assets and an increase in stock-based compensation of approximately $0.3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2017, we incurred amortization expense of $1.2 million related to intangible assets acquired in the Biotest Transaction (see Notes 3 and 6 to the consolidated financial statements), with no comparable amount for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Charge</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2017, we recorded an impairment charge in the amount of $0.8 million related to certain assets acquired in the Biotest Transaction (see Note 3 to the consolidated financial statements), with no comparable amount for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operating loss was $39.3 million for the year ended December 31, 2017, as compared to $17.3 million for the year ended December 31, 2016. The increase was mainly due to the increase in cost of product revenue of $22.8 million, the $9.6 million increase in SG&amp;A expenses, the $1.1 million increase in plasma center expenses and amortization of intangible assets of $1.2 million, partially offset by the $12.1 million increase in total revenues and the $1.4 million decrease in R&amp;D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Interest expense was $3.3 million for the year ended December 31, 2017, compared to $2.2 million for the year ended December 31, 2016. The increase is due to higher interest expense, including amortization of debt discount, resulting from higher average debt balances in 2017 due to (i) the $15 million note payable to BPC, (ii) the increase of $4.0 million to our then-current debt to Oxford Finance, LLC (“Oxford”) in May 2016 and (iii) the refinancing of the Oxford debt in October 2017, which resulted in an additional $10 million of interest-bearing debt (see “Liquidity and Capital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Other expense, net was $1.2 million for the year ended December 31, 2017, as compared to other income of approximately $55,000 for the year ended December 31, 2016. The increase is mainly due to the loss on extinguishment of debt in the amount of $1.2 million, primarily the result of writing off unamortized debt discount, recognized in 2017 in connection with the refinancing of the Oxford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Net loss was $43.8 million for the year ended December 31, 2017, an increase of $23.9 million from the prior year. The increase was mainly due to the increases in operating loss and, to a lesser extent, interest expense, as well as the loss on extinguishment of debt in 2017, with no comparable amount in 2016.</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9" w:name="page60"/>
    <w:bookmarkEnd w:id="59"/>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2017, we had working capital of $53.7 million, including cash and cash equivalents of $43.1 million, and stockholders’ equity of $40.3 million, as compared to working capital of $10.4 million, including cash and cash equivalents of $9.9 million, and a stockholders’ deficit of $4.5 million as of December 31, 2016. We have had limited revenue from operations, incurred an accumulated deficit of $150.7 million since inception, and for the years ended December 31, 2017 and 2016 we had negative cash flows from operations of $37.3 million and $18.3 million, respectively. We have funded our operations to date primarily from the sale of our equity and debt securities, acquisition proceeds from the Biotest Transaction and loans from our primary stockholders.</w:t>
      </w:r>
    </w:p>
    <w:p>
      <w:pPr>
        <w:spacing w:after="0" w:line="1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expect to continue to spend substantial amounts on product development, quality assurance, regulatory affairs, procurement of raw material plasma, manufacturing, marketing, sales and conducting clinical trials for our product candidates and purchasing clinical trial materials from our suppliers, some of which may be required by the FDA. We currently anticipate, based upon our projected revenue and expenditures, that our cash, cash equivalents, projected revenue and accounts receivable, along with the $10.0 million we expect to be able to draw down under the Credit Agreement (as defined below), will be sufficient to fund our operations, as currently conducted, through the end of 2018. In order to have sufficient cash to fund our operations thereafter and to continue as a going concern, we will need to raise additional equity prior to the end of 2018. This time frame may change based upon how quickly we are able to execute on our quality management systems’ enhancement plans for the ADMA BioManufacturing operations, commercial manufacturing ramp-up activities and the various financing options we are exploring. We currently have no firm commitments for additional financing, and we cannot provide any assurance that we will be able to secure additional financing on terms that are acceptable to us, or at all. Failure to secure any necessary financing in a timely manner and on commercially reasonable terms could have a material adverse effect on our business plan and financial performance and we could be forced to delay or discontinue our product development, clinical trial or commercialization activities, delay or discontinue the approval efforts for any of our potential products, or potentially cease operations. In addition, we could also be forced to reduce or forgo sales and marketing efforts and forgo attractive business opportunities.</w:t>
      </w:r>
    </w:p>
    <w:p>
      <w:pPr>
        <w:spacing w:after="0" w:line="18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Furthermore, if the assumptions underlying our estimated expenses are incorrect, we may have to raise additional capital sooner than anticipated. Because of numerous risks and uncertainties associated with the research and development and potential future commercialization of our product candidates, we are unable to estimate with certainty the amounts of increased capital outlays and operating expenditures associated with our anticipated clinical trials and development activities. Our current estimates may be subject to change as circumstances regarding our business requirements evolve. We may decide to raise capital through public or private equity offerings and such financings may only be available on unattractive terms, resulting in significant dilution of stockholders’ interests and, in such event, the value and potential future market price of our Common Stock may decline. We may also decide to obtain additional debt financing or a bank credit facility, subject to the restrictions contained in the Credit Agreement, or to enter into corporate collaboration and licensing arrangements. The sale of additional equity or debt securities, if convertible, could result in dilution to our current stockholders. The incurrence of additional indebtedness would result in increased fixed obligations and could also result in covenants that would restrict our operations or other future financing alternatives.</w:t>
      </w:r>
    </w:p>
    <w:p>
      <w:pPr>
        <w:spacing w:after="0" w:line="186"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Our long-term liquidity depends upon our ability to raise additional capital, fund our research and development and commercial programs and achieve commercial status for our products and product candidates in order to generate sufficient revenues to cover our operating expenses and meet our obligations on a timely basis. We believe that we will continue to incur losses and negative cash flows from operating activities through the foreseeable future. As such, these conditions raise substantial doubt about our ability to continue as a going concern.</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November 13, 2017, we completed an underwritten public offering of 19,523,255 shares of Common Stock for gross proceeds of $42.0 million. Net proceeds from this offering, after payment of underwriting discounts and offering expenses of $2.8 million, were $39.2 million. The proceeds from this offering have been or are being used for (i) the purchase of raw material inventory and the ramp-up of our manufacturing capabilities, (ii) continued remediation of the issues identified in the CRL and the Warning Letter and completion of our internal quality management systems overhaul, (iii) capital expenditures for the Boca Facility, (iv) product launch and medical education campaigns, (v) the build-out of our third plasma collection facility, (vi) research and development activities for our plasma collection programs and specialty plasma products, and (vii) working capital needs and general corporate purposes, including expenses associated with improving the FDA inspection classification relative to the Warning Letter, filing the PAS and obtaining marketing clearance for the relaunch of Bivigam and refiling the BLA for RI-002.</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0" w:name="page61"/>
    <w:bookmarkEnd w:id="60"/>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October 10, 2017 (the “Marathon Closing Date”), we entered into a Credit Agreement (the “Credit Agreement”) with Marathon Healthcare Finance Fund, L.P. (“Marathon” or the “Lender”) and Wilmington Trust, National Association, as the administrative agent for the Lender (the “Administrative Agent”). The Credit Agreement provides for a senior secured term loan facility in an aggregate amount of up to $40.0 million (collectively, the “Credit Facility”), comprised of (i) a term loan made on the Marathon Closing Date in the principal amount of $30.0 million (the “Tranche One Loan”), and (ii) an additional term loan to be made in the maximum principal amount not to exceed $10.0 million (the “Tranche Two Loan” and, together with the Tranche One Loan, the “Loans”), which Tranche Two Loan availability is subject to the satisfaction of certain conditions, including, but not limited to, those described below. The Loans each have a maturity date of April 10, 2022 (the “Maturity Date”), subject to acceleration pursuant to the Credit Agreement, including upon an Event of Default (as defined in the Credit Agreement).</w:t>
      </w:r>
    </w:p>
    <w:p>
      <w:pPr>
        <w:spacing w:after="0" w:line="18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the Marathon Closing Date, we used approximately $17.0 million of the Tranche One Loan to retire and pay in full our previously existing credit facility, as amended, with Oxford Finance, LLC (“Oxford”) and all of the obligations thereunder, including the end-of-term liability of $1.8 million and prepayment penalties of $0.2 million. We also (i) used $5.5 million of the Tranche One Loan to pre-fund a debt service reserve account in accordance with the terms of the Credit Agreement, and (ii) paid diligence fees, legal and other expenses associated with the Credit Facility in the amount of approximately $1.5 million, which fees exclude a deferred facility fee to Marathon equal to 9.20% of the Tranche One Loan payable at maturity. The remaining $6.0 million of proceeds was used for the continued remediation of the issues identified in the CRL and the Warning Letter and for general corporate purposes.</w:t>
      </w:r>
    </w:p>
    <w:p>
      <w:pPr>
        <w:spacing w:after="0" w:line="18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obligation of Marathon to make the Tranche Two Loan is subject to the satisfaction of certain conditions related to FDA approval for specified products and the Company’s financial condition, including, without limitation, the following: (a) (i) the FDA must validate the improved manufacturing process of Bivigam and (ii) not less than $0.5 million in net revenue must be generated in calendar year 2018 from the sale in the U.S. of Bivigam; or (b) (i) the FDA must approve the commercialization of RI-002 and (ii) not less than $0.5 million in net revenue must be generated in calendar year 2019 from the sale in the U.S. of RI-002.</w:t>
      </w:r>
    </w:p>
    <w:p>
      <w:pPr>
        <w:spacing w:after="0" w:line="18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On the Marathon Closing Date, we issued a promissory note in favor of the Administrative Agent in the principal amount of $30.0 million (the “Tranche One Note”), evidencing our indebtedness resulting from the Tranche One Loan. Borrowings under the Credit Agreement bear interest at a rate per annum equal to LIBOR plus 9.50% with a 1% LIBOR floor; provided, however, that in the event that we achieve sales of not less than $61.7 million for the 2018 calendar year and the Tranche Two Loan has been funded, then the interest rate on the borrowings under the Credit Agreement will decrease to LIBOR plus 7.75% with a 1% LIBOR floor. During an Event of Default under the Credit Agreement, the outstanding amount of indebtedness under the Credit Agreement will bear interest at a rate per annum equal to the interest rate then applicable to the borrowings under the Credit Agreement plus 5% per annum. Quarterly cash interest payments are due the first business day of each March, June, September and December, beginning on December 1, 2017.</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will pay Marathon a facility fee in an amount equal to 9.20% of the amount funded, payment of which is deferred until the Maturity Date pursuant to the terms of the Credit Agreement. Commencing on October 10, 2020, and on the first business day of each month, we are required to make principal payments on the Tranche One Loan (and Tranche Two Loan in the event it shall have been funded) in equal monthly installments over 18 months, subject to certain conditions in the Credit Agreement. The outstanding principal amount of the Loans, together with all accrued interest thereon, is due on the Maturity Date.</w:t>
      </w:r>
    </w:p>
    <w:p>
      <w:pPr>
        <w:spacing w:after="0" w:line="18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consideration for the Credit Agreement, we issued warrants to purchase an aggregate of 339,301 shares of our Common Stock to the Lender and certain of the Lender’s affiliates (the “Tranche One Warrants”). The Tranche One Warrants, which we valued at $0.6 million, have (i) an exercise price equal to $3.0946, which was the trailing 10-day volume weighted-average price of our Common Stock prior to the Marathon Closing Date, and (ii) an expiration date of October 10, 2024. We issued the Tranche One Warrants in reliance upon an exemption from registration contained in Section 4(2) under the Securities Act. The Tranche One Warrants and the shares of Common Stock issuable thereunder may not be offered, sold, pledged or otherwise transferred in the U.S. absent registration or an applicable exemption from the registration requirements under the Securities Act.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1" w:name="page62"/>
    <w:bookmarkEnd w:id="61"/>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Based on the fair value of the Tranche One Warrants, the facility fee and the fees and expenses associated with obtaining the Credit Facility, the effective interest rate on the Tranche One Note is approximately 16.5%. Our obligations under the Credit Agreement are secured by a first-priority lien and security interest in substantially all of our assets, including a mortgage on the Boca Facility, and those of ADMA’s subsidiaries as well as all of the equity interests in each subsidiary.</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contains market representations and warranties, affirmative covenants, negative covenants, financial covenants, and conditions that are customarily required for similar financings. The affirmative covenants, among other things, require us to undertake various reporting requirements. The negative covenants restrict or limit our and our subsidiaries’ ability to, among other things, incur new indebtedness; create liens on assets; engage in certain fundamental corporate changes or changes to our business activities; sell or otherwise dispose of assets; repurchase stock, pay dividends; repay certain other indebtedness; engage in certain affiliate transactions; or enter into any other agreements that restrict our ability to make loan repayments. In addition, we may not permit our liquidity, defined in the Credit Agreement as cash held in the debt service reserve account and any other deposit account subject to a control agreement with the Administrative Agent, to be less than $5.5 million at any time. The Credit Agreement also required the establishment of the debt service reserve account. We are currently required to maintain a minimum balance in this account of $5.5 million. Upon the satisfaction of certain conditions related to some of our leased properties, the minimum required balance in the debt service reserve account will be reduced to $4.0 million.</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which include, among others, non-payment of principal, interest or fees, violation of covenants, inaccuracy of representations and warranties, bankruptcy and insolvency events, material judgments, cross-defaults to material contracts and events constituting a change of control. The occurrence of an Event of Default could result in, among other things, the termination of commitments under the Credit Facility and the declaration that all outstanding Loans are immediately due and payable in whole or in part.</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June 2017, we received $27.5 million in connection with the Biotest Transaction, comprised of $12.5 million in cash from BPC and an unsecured subordinated 6% note payable to BPC in the amount of $15.0 million. Also in June 2017, BPC provided us with a firm equity commitment to invest up to an additional $12.5 million in future equity financings of the Company, and this commitment was invested in the foregoing November 2017 public offering of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(37,271,774)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(18,268,973)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15,213,856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60,750,625</w:t>
            </w:r>
          </w:p>
        </w:tc>
        <w:tc>
          <w:tcPr>
            <w:tcW w:w="2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16,838,298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38,692,707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 beginning of year</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9,914,867</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10,440,959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 - end of year</w:t>
            </w: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48,607,574</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9,914,867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jc w:val="right"/>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r>
      <w:tr>
        <w:trPr>
          <w:trHeight w:val="534"/>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illustrates the primary components of our cash flows from operations: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r>
      <w:tr>
        <w:trPr>
          <w:trHeight w:val="423"/>
        </w:trPr>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8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1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(43,758,975)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(19,515,151)</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Non-cash expenses, gains and losses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6,769,443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2,253,759</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(2,862,127)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(93,559)</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inventories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589,318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(1,574,373)</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prepaid expenses and other current 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(941,272)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(202,887)</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accounts payable and accrued expenses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3,426,549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893,798</w:t>
            </w: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(494,710)</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(30,560)</w:t>
            </w: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operations</w:t>
            </w: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(37,271,774)</w:t>
            </w:r>
          </w:p>
        </w:tc>
        <w:tc>
          <w:tcPr>
            <w:tcW w:w="2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(18,268,973)</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77" w:lineRule="auto"/>
        <w:rPr>
          <w:sz w:val="20"/>
          <w:szCs w:val="20"/>
          <w:color w:val="auto"/>
        </w:rPr>
      </w:pPr>
      <w:r>
        <w:rPr>
          <w:rFonts w:ascii="Times New Roman" w:cs="Times New Roman" w:eastAsia="Times New Roman" w:hAnsi="Times New Roman"/>
          <w:sz w:val="17"/>
          <w:szCs w:val="17"/>
          <w:color w:val="auto"/>
        </w:rPr>
        <w:t>Cash used in operations increased by $19.0 million for the year ended December 31, 2017 as compared to the year ended December 31, 2016, mainly due to the higher net loss, partially offset by an increase in non-cash charges. The increase in net loss in 2017 is primarily the result of the Biotest Transaction and the operations associated with the Boca Facility. The increase in non-cash expenses in 2017 is mainly due to increased depreciation expense on property and equipment and amortization expense for intangible assets acquired in the Biotest Transaction (see Note 3 to the consolidated financial statements), and to the loss on extinguishment of debt recognized in connection with repayment of the indebtedness under the Oxford credit facility.</w:t>
      </w:r>
    </w:p>
    <w:p>
      <w:pPr>
        <w:spacing w:after="0" w:line="16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$15.2 million for the year ended December 31, 2017, which reflects the $12.5 million cash received by us in connection with the acquisition of the Biotest Assets, and the redemptions of short-term investments in the amount of $5.4 million, partially offset by capital expenditures in the amount of $2.7 million. Our capital expenditures were mainly the result of the continued build out of our third ADMA BioCenters plasma collection facility. We expect our total capital expenditures will be between $3.5 million and $4.0 million for fiscal 2018.</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$0.9 million for the year ended December 31, 2016, which was related to the redemption of short-term investments, net of purchases of such investments.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totaled $60.8 million for the year ended December 31, 2017, consisting primarily of $39.2 million of net proceeds from a public offering of Common Stock, $15.0 million received from the issuance of the note payable to BPC and the refinancing of the Oxford indebtedness with the Marathon Credit Facility, which resulted in net proceeds of approximately $11.5 million (including $5.5 million in cash held in the debt service reserve account), partially offset by repayments on the principal balances of our notes payable to Oxford in the amount of $5.0 million.</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totaled $16.8 million for the year ended December 31, 2016, which consisted primarily of $12.9 million of net proceeds received from the issuance of Common Stock during the second quarter of 2016 and $4.0 million received from the issuance of notes to Oxford during the second quarter of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Inflation did not have a significant impact on ADMA’s net sales, revenues or income from continuing operations in 2015, 2016 or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Our financial statements required to be filed pursuant to this Item 8 appear in a separate section of this Annual Report on Form 10-K, beginning on page F-1.</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63" w:name="page64"/>
    <w:bookmarkEnd w:id="63"/>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We designed our disclosure controls and procedures, as such term is defined in Rule 13a-15(e) under the Exchange Act, to provide reasonable assurance that information required to be disclosed by us in reports we file or submit under the Exchange Act is (i) recorded, processed, summarized and reported within the time periods specified in the SEC’s rules and forms, and (ii) is accumulated and communicated to our management, including our principal executive officer and principal financial officer, as appropriate to allow timely decisions regarding required disclosures.</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of December 31, 2017. Based on this evaluation, our principal executive officer and our principal financial officer concluded that our disclosure controls and procedures as of December 31, 2017 are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8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for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control over financial reporting is defined in Rules 13a-15(f) and 15d-15(f) promulgated under the Exchange Act.</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2017. In making this assessment, the Company’s management used the criteria set forth by the Committee of Sponsoring Organization of the Treadway Commission in its 2013 “Internal Control-Integrated Framework.” Based on this assessment, management concluded that, as of December 31, 2017, the Company’s internal control over financial reporting is effective.</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currently integrating the business processes and information systems in effect prior to the closing of the Biotest Transaction with those of ADMA BioManufacturing, including internal controls. In accordance with guidance issued by the SEC, registrants are permitted to exclude acquisitions from their assessment of internal controls over financial reporting during the first year subsequent to the acquisition while integrating the acquired operations. Management’s assessment of internal control over financial reporting excluded the operations of BTBU, which was acquired on June 6, 2017 and immediately contributed into ADMA BioManufacturing. At December 31, 2017, ADMA BioManufacturing had total assets of $54.0 million.</w:t>
      </w:r>
    </w:p>
    <w:p>
      <w:pPr>
        <w:spacing w:after="0" w:line="184"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a smaller reporting company, the Company is not required to include in this Annual Report a report on the effectiveness of internal control over financial reporting by the Company’s independent registered public accounting firm.</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4" w:name="page65"/>
    <w:bookmarkEnd w:id="64"/>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December 31, 2017 that has materially affected, or is reasonably likely to materially affect, our internal control over financial reporting. A control system, no matter how well designed and operated, can provide only reasonable, not absolute, assurance that the objectives of the control system are met, and therefore,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Information required to be disclosed by this Item with respect to our executive officers is incorporated into this Annual Report on Form 10-K by reference from the section entitled “Executive Officers and Director and Officer Compensation: Executive Officers” contained in our definitive proxy statement for our 2018 annual meeting of stockholders, which we intend to file within 120 days of the end of our fiscal year ended December 31, 2017.</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required to be disclosed by this Item about our Board is incorporated into this Annual Report on Form 10-K by reference from the section entitled “Proposal No. 1: Election of Directors” contained in our definitive proxy statement for our 2018 annual meeting of stockholders, which we intend to file within 120 days of the end of our fiscal year ended December 31, 2017.</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required to be disclosed by this Item about the Section 16(a) compliance of our directors and executive officers is incorporated into this Annual Report on Form 10-K by reference from the section entitled “Section 16(a) Beneficial Ownership Reporting Compliance” contained in our definitive proxy statement for our 2018 annual meeting of stockholders, which we intend to file within 120 days of the end of our fiscal year ended December 31, 2017.</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Information required to be disclosed by this Item about our Board, the Audit Committee of our Board, our audit committee financial expert, our Code of Ethics and Business Conduct Standards, and other corporate governance matters is incorporated into this Annual Report on Form 10-K by reference from the section entitled “Corporate Governance” contained in our definitive proxy statement for our 2018 annual meeting of stockholders, which we intend to file within 120 days of the end of our fiscal year ended December 31, 2017.</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text of our Code of Ethics and Business Conduct Standards, which applies to our directors and employees (including our principal executive officer, principal financial officer, and principal accounting officer or controller, and persons performing similar functions), is posted in the “Corporate Governance” section of the Investors section of our website, http://www.admabiologics.com/. A copy of the Code of Ethics and Business Conduct Standards can be obtained free of charge on our website. We intend to disclose on our website any amendments to, or waivers from, our Code of Ethics and Business Conduct Standards that are required to be disclosed pursuant to the rules of the SEC and The Nasdaq Stock Market.</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presented on our website is not a part of this Annual Report on Form 10-K and the reference to our website is intended to be an inactive textual reference only.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Information required to be disclosed by this Item is incorporated into this Annual Report on Form 10-K by reference from the section entitled “Executive Officers and Director and Officer Compensation” contained in our definitive proxy statement for our 2018 annual meeting of stockholders, which we intend to file within 120 days of the end of our fiscal year ended December 31, 2017.</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5" w:name="page66"/>
    <w:bookmarkEnd w:id="65"/>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Information required to be disclosed by this Item is incorporated into this Annual Report on Form 10-K by reference from the sections entitled “Security Ownership of Certain Beneficial Owners and Management and Related Stockholder Matters” contained in our definitive proxy statement for our 2018 annual meeting of stockholders, which we intend to file within 120 days of the end of our fiscal year ended December 31,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to be disclosed by this Item is incorporated in this Annual Report on Form 10-K by reference from the section entitled “Certain Relationships and Related Transactions, and Director Independence” contained in our definitive proxy statement for our 2018 annual meeting of stockholders, which we intend to file within 120 days of the end of our fiscal year ended December 31,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to be disclosed by this Item is incorporated into this Annual Report on Form 10-K by reference from the section entitled “Audit and Other Fees” contained in our definitive proxy statement for our 2018 annual meeting of stockholders, which we intend to file within 120 days of the end of our fiscal year ended December 31, 2017.</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6" w:name="page67"/>
    <w:bookmarkEnd w:id="66"/>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9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20" w:type="dxa"/>
            <w:vAlign w:val="bottom"/>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5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20" w:type="dxa"/>
            <w:vAlign w:val="bottom"/>
          </w:tcPr>
          <w:p>
            <w:pPr>
              <w:spacing w:after="0"/>
              <w:rPr>
                <w:sz w:val="18"/>
                <w:szCs w:val="18"/>
                <w:color w:val="auto"/>
              </w:rPr>
            </w:pP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2017 and 2016</w:t>
            </w:r>
          </w:p>
        </w:tc>
        <w:tc>
          <w:tcPr>
            <w:tcW w:w="15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20" w:type="dxa"/>
            <w:vAlign w:val="bottom"/>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2017 and 2016</w:t>
            </w:r>
          </w:p>
        </w:tc>
        <w:tc>
          <w:tcPr>
            <w:tcW w:w="15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20" w:type="dxa"/>
            <w:vAlign w:val="bottom"/>
          </w:tcPr>
          <w:p>
            <w:pPr>
              <w:spacing w:after="0"/>
              <w:rPr>
                <w:sz w:val="18"/>
                <w:szCs w:val="18"/>
                <w:color w:val="auto"/>
              </w:rPr>
            </w:pP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(Deficit) for the years ended December 31, 2017 and 2016</w:t>
            </w:r>
          </w:p>
        </w:tc>
        <w:tc>
          <w:tcPr>
            <w:tcW w:w="15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20" w:type="dxa"/>
            <w:vAlign w:val="bottom"/>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2017 and 2016</w:t>
            </w:r>
          </w:p>
        </w:tc>
        <w:tc>
          <w:tcPr>
            <w:tcW w:w="15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F-6</w:t>
            </w:r>
          </w:p>
        </w:tc>
      </w:tr>
      <w:tr>
        <w:trPr>
          <w:trHeight w:val="234"/>
        </w:trPr>
        <w:tc>
          <w:tcPr>
            <w:tcW w:w="2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5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F-7</w:t>
            </w:r>
          </w:p>
        </w:tc>
      </w:tr>
      <w:tr>
        <w:trPr>
          <w:trHeight w:val="414"/>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15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Required information is included in the footnotes to the financial statements.</w:t>
            </w:r>
          </w:p>
        </w:tc>
        <w:tc>
          <w:tcPr>
            <w:tcW w:w="1580" w:type="dxa"/>
            <w:vAlign w:val="bottom"/>
          </w:tcPr>
          <w:p>
            <w:pPr>
              <w:spacing w:after="0"/>
              <w:rPr>
                <w:sz w:val="24"/>
                <w:szCs w:val="24"/>
                <w:color w:val="auto"/>
              </w:rPr>
            </w:pPr>
          </w:p>
        </w:tc>
      </w:tr>
      <w:tr>
        <w:trPr>
          <w:trHeight w:val="432"/>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Exhibits.</w:t>
            </w:r>
          </w:p>
        </w:tc>
        <w:tc>
          <w:tcPr>
            <w:tcW w:w="15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See Exhibit Index immediately following the financial statements to this Annual Report on Form 10-K.</w:t>
            </w:r>
          </w:p>
        </w:tc>
        <w:tc>
          <w:tcPr>
            <w:tcW w:w="158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7" w:name="page68"/>
    <w:bookmarkEnd w:id="67"/>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7420" w:type="dxa"/>
            <w:vAlign w:val="bottom"/>
            <w:gridSpan w:val="2"/>
          </w:tcPr>
          <w:p>
            <w:pPr>
              <w:ind w:left="2420"/>
              <w:spacing w:after="0"/>
              <w:rPr>
                <w:sz w:val="20"/>
                <w:szCs w:val="20"/>
                <w:color w:val="auto"/>
              </w:rPr>
            </w:pPr>
            <w:r>
              <w:rPr>
                <w:rFonts w:ascii="Times New Roman" w:cs="Times New Roman" w:eastAsia="Times New Roman" w:hAnsi="Times New Roman"/>
                <w:sz w:val="18"/>
                <w:szCs w:val="18"/>
                <w:b w:val="1"/>
                <w:bCs w:val="1"/>
                <w:color w:val="auto"/>
              </w:rPr>
              <w:t>ADMA Biologics, Inc.</w:t>
            </w:r>
          </w:p>
        </w:tc>
      </w:tr>
      <w:tr>
        <w:trPr>
          <w:trHeight w:val="43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2018</w:t>
            </w:r>
          </w:p>
        </w:tc>
        <w:tc>
          <w:tcPr>
            <w:tcW w:w="30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 Grossman</w:t>
            </w:r>
          </w:p>
        </w:tc>
      </w:tr>
      <w:tr>
        <w:trPr>
          <w:trHeight w:val="178"/>
        </w:trPr>
        <w:tc>
          <w:tcPr>
            <w:tcW w:w="4000" w:type="dxa"/>
            <w:vAlign w:val="bottom"/>
          </w:tcPr>
          <w:p>
            <w:pPr>
              <w:spacing w:after="0"/>
              <w:rPr>
                <w:sz w:val="15"/>
                <w:szCs w:val="15"/>
                <w:color w:val="auto"/>
              </w:rPr>
            </w:pPr>
          </w:p>
        </w:tc>
        <w:tc>
          <w:tcPr>
            <w:tcW w:w="3000" w:type="dxa"/>
            <w:vAlign w:val="bottom"/>
          </w:tcPr>
          <w:p>
            <w:pPr>
              <w:ind w:left="24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Adam S. Grossman</w:t>
            </w:r>
          </w:p>
        </w:tc>
      </w:tr>
      <w:tr>
        <w:trPr>
          <w:trHeight w:val="248"/>
        </w:trPr>
        <w:tc>
          <w:tcPr>
            <w:tcW w:w="4000" w:type="dxa"/>
            <w:vAlign w:val="bottom"/>
          </w:tcPr>
          <w:p>
            <w:pPr>
              <w:spacing w:after="0"/>
              <w:rPr>
                <w:sz w:val="21"/>
                <w:szCs w:val="21"/>
                <w:color w:val="auto"/>
              </w:rPr>
            </w:pPr>
          </w:p>
        </w:tc>
        <w:tc>
          <w:tcPr>
            <w:tcW w:w="30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426"/>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 Grossman</w:t>
            </w:r>
          </w:p>
        </w:tc>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Adam S. Grossman</w:t>
            </w:r>
          </w:p>
        </w:tc>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Officer (Principal Executive Officer)</w:t>
            </w:r>
          </w:p>
        </w:tc>
        <w:tc>
          <w:tcPr>
            <w:tcW w:w="220" w:type="dxa"/>
            <w:vAlign w:val="bottom"/>
          </w:tcPr>
          <w:p>
            <w:pPr>
              <w:spacing w:after="0"/>
              <w:rPr>
                <w:sz w:val="19"/>
                <w:szCs w:val="19"/>
                <w:color w:val="auto"/>
              </w:rPr>
            </w:pPr>
          </w:p>
        </w:tc>
        <w:tc>
          <w:tcPr>
            <w:tcW w:w="29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March 29, 2018</w:t>
            </w:r>
          </w:p>
        </w:tc>
        <w:tc>
          <w:tcPr>
            <w:tcW w:w="0" w:type="dxa"/>
            <w:vAlign w:val="bottom"/>
          </w:tcPr>
          <w:p>
            <w:pPr>
              <w:spacing w:after="0"/>
              <w:rPr>
                <w:sz w:val="1"/>
                <w:szCs w:val="1"/>
                <w:color w:val="auto"/>
              </w:rPr>
            </w:pPr>
          </w:p>
        </w:tc>
      </w:tr>
      <w:tr>
        <w:trPr>
          <w:trHeight w:val="414"/>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Lenz</w:t>
            </w:r>
          </w:p>
        </w:tc>
        <w:tc>
          <w:tcPr>
            <w:tcW w:w="4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c>
          <w:tcPr>
            <w:tcW w:w="220" w:type="dxa"/>
            <w:vAlign w:val="bottom"/>
          </w:tcPr>
          <w:p>
            <w:pPr>
              <w:spacing w:after="0"/>
              <w:rPr>
                <w:sz w:val="24"/>
                <w:szCs w:val="24"/>
                <w:color w:val="auto"/>
              </w:rPr>
            </w:pPr>
          </w:p>
        </w:tc>
        <w:tc>
          <w:tcPr>
            <w:tcW w:w="290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March 29, 2018</w:t>
            </w:r>
          </w:p>
        </w:tc>
        <w:tc>
          <w:tcPr>
            <w:tcW w:w="0" w:type="dxa"/>
            <w:vAlign w:val="bottom"/>
          </w:tcPr>
          <w:p>
            <w:pPr>
              <w:spacing w:after="0"/>
              <w:rPr>
                <w:sz w:val="1"/>
                <w:szCs w:val="1"/>
                <w:color w:val="auto"/>
              </w:rPr>
            </w:pPr>
          </w:p>
        </w:tc>
      </w:tr>
      <w:tr>
        <w:trPr>
          <w:trHeight w:val="191"/>
        </w:trPr>
        <w:tc>
          <w:tcPr>
            <w:tcW w:w="3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Lenz</w:t>
            </w:r>
          </w:p>
        </w:tc>
        <w:tc>
          <w:tcPr>
            <w:tcW w:w="48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A. Elms</w:t>
            </w:r>
          </w:p>
        </w:tc>
        <w:tc>
          <w:tcPr>
            <w:tcW w:w="4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Chairman of the Board of Directors and Director</w:t>
            </w:r>
          </w:p>
        </w:tc>
        <w:tc>
          <w:tcPr>
            <w:tcW w:w="220" w:type="dxa"/>
            <w:vAlign w:val="bottom"/>
          </w:tcPr>
          <w:p>
            <w:pPr>
              <w:spacing w:after="0"/>
              <w:rPr>
                <w:sz w:val="24"/>
                <w:szCs w:val="24"/>
                <w:color w:val="auto"/>
              </w:rPr>
            </w:pPr>
          </w:p>
        </w:tc>
        <w:tc>
          <w:tcPr>
            <w:tcW w:w="290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March 29, 2018</w:t>
            </w: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Steven A. Elms</w:t>
            </w:r>
          </w:p>
        </w:tc>
        <w:tc>
          <w:tcPr>
            <w:tcW w:w="48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Jerrold B. Grossman</w:t>
            </w:r>
          </w:p>
        </w:tc>
        <w:tc>
          <w:tcPr>
            <w:tcW w:w="4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Vice Chairman of the Board of Directors and Director</w:t>
            </w:r>
          </w:p>
        </w:tc>
        <w:tc>
          <w:tcPr>
            <w:tcW w:w="220" w:type="dxa"/>
            <w:vAlign w:val="bottom"/>
          </w:tcPr>
          <w:p>
            <w:pPr>
              <w:spacing w:after="0"/>
              <w:rPr>
                <w:sz w:val="24"/>
                <w:szCs w:val="24"/>
                <w:color w:val="auto"/>
              </w:rPr>
            </w:pPr>
          </w:p>
        </w:tc>
        <w:tc>
          <w:tcPr>
            <w:tcW w:w="290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March 29, 2018</w:t>
            </w: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Dr. Jerrold B. Grossman</w:t>
            </w:r>
          </w:p>
        </w:tc>
        <w:tc>
          <w:tcPr>
            <w:tcW w:w="48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Bryant E. Fong</w:t>
            </w:r>
          </w:p>
        </w:tc>
        <w:tc>
          <w:tcPr>
            <w:tcW w:w="4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90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March 29, 2018</w:t>
            </w: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Bryant E. Fong</w:t>
            </w:r>
          </w:p>
        </w:tc>
        <w:tc>
          <w:tcPr>
            <w:tcW w:w="48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Dov A. Goldstein, M.D.</w:t>
            </w:r>
          </w:p>
        </w:tc>
        <w:tc>
          <w:tcPr>
            <w:tcW w:w="4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90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March 29, 2018</w:t>
            </w: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Dov A. Goldstein, M.D.</w:t>
            </w:r>
          </w:p>
        </w:tc>
        <w:tc>
          <w:tcPr>
            <w:tcW w:w="48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P. Guiheen</w:t>
            </w:r>
          </w:p>
        </w:tc>
        <w:tc>
          <w:tcPr>
            <w:tcW w:w="4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90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March 29, 2018</w:t>
            </w: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Lawrence P. Guiheen</w:t>
            </w:r>
          </w:p>
        </w:tc>
        <w:tc>
          <w:tcPr>
            <w:tcW w:w="48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I. Richman</w:t>
            </w:r>
          </w:p>
        </w:tc>
        <w:tc>
          <w:tcPr>
            <w:tcW w:w="4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90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March 29, 2018</w:t>
            </w:r>
          </w:p>
        </w:tc>
        <w:tc>
          <w:tcPr>
            <w:tcW w:w="0" w:type="dxa"/>
            <w:vAlign w:val="bottom"/>
          </w:tcPr>
          <w:p>
            <w:pPr>
              <w:spacing w:after="0"/>
              <w:rPr>
                <w:sz w:val="1"/>
                <w:szCs w:val="1"/>
                <w:color w:val="auto"/>
              </w:rPr>
            </w:pPr>
          </w:p>
        </w:tc>
      </w:t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Eric I. Richman</w:t>
            </w:r>
          </w:p>
        </w:tc>
        <w:tc>
          <w:tcPr>
            <w:tcW w:w="48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00" w:type="dxa"/>
            <w:vAlign w:val="bottom"/>
          </w:tcPr>
          <w:p>
            <w:pPr>
              <w:spacing w:after="0"/>
              <w:rPr>
                <w:sz w:val="13"/>
                <w:szCs w:val="13"/>
                <w:color w:val="auto"/>
              </w:rPr>
            </w:pPr>
          </w:p>
        </w:tc>
        <w:tc>
          <w:tcPr>
            <w:tcW w:w="1920" w:type="dxa"/>
            <w:vAlign w:val="bottom"/>
            <w:gridSpan w:val="4"/>
          </w:tcPr>
          <w:p>
            <w:pPr>
              <w:ind w:left="880"/>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r>
      <w:tr>
        <w:trPr>
          <w:trHeight w:val="534"/>
        </w:trPr>
        <w:tc>
          <w:tcPr>
            <w:tcW w:w="20" w:type="dxa"/>
            <w:vAlign w:val="bottom"/>
          </w:tcPr>
          <w:p>
            <w:pPr>
              <w:spacing w:after="0"/>
              <w:rPr>
                <w:sz w:val="24"/>
                <w:szCs w:val="24"/>
                <w:color w:val="auto"/>
              </w:rPr>
            </w:pPr>
          </w:p>
        </w:tc>
        <w:tc>
          <w:tcPr>
            <w:tcW w:w="950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tc>
        <w:tc>
          <w:tcPr>
            <w:tcW w:w="8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5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5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2017 and 2016</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2017 and 2016</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(Deficit) for the years ended December 31, 2017 and 2016</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2017 and 2016</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c>
          <w:tcPr>
            <w:tcW w:w="20" w:type="dxa"/>
            <w:vAlign w:val="bottom"/>
          </w:tcPr>
          <w:p>
            <w:pPr>
              <w:spacing w:after="0"/>
              <w:rPr>
                <w:sz w:val="20"/>
                <w:szCs w:val="20"/>
                <w:color w:val="auto"/>
              </w:rPr>
            </w:pPr>
          </w:p>
        </w:tc>
      </w:tr>
      <w:tr>
        <w:trPr>
          <w:trHeight w:val="529"/>
        </w:trPr>
        <w:tc>
          <w:tcPr>
            <w:tcW w:w="20" w:type="dxa"/>
            <w:vAlign w:val="bottom"/>
          </w:tcPr>
          <w:p>
            <w:pPr>
              <w:spacing w:after="0"/>
              <w:rPr>
                <w:sz w:val="24"/>
                <w:szCs w:val="24"/>
                <w:color w:val="auto"/>
              </w:rPr>
            </w:pPr>
          </w:p>
        </w:tc>
        <w:tc>
          <w:tcPr>
            <w:tcW w:w="9500" w:type="dxa"/>
            <w:vAlign w:val="bottom"/>
            <w:tcBorders>
              <w:bottom w:val="single" w:sz="8" w:color="auto"/>
            </w:tcBorders>
          </w:tcPr>
          <w:p>
            <w:pPr>
              <w:jc w:val="center"/>
              <w:ind w:left="1850"/>
              <w:spacing w:after="0"/>
              <w:rPr>
                <w:sz w:val="20"/>
                <w:szCs w:val="20"/>
                <w:color w:val="auto"/>
              </w:rPr>
            </w:pPr>
            <w:r>
              <w:rPr>
                <w:rFonts w:ascii="Times New Roman" w:cs="Times New Roman" w:eastAsia="Times New Roman" w:hAnsi="Times New Roman"/>
                <w:sz w:val="18"/>
                <w:szCs w:val="18"/>
                <w:color w:val="auto"/>
                <w:w w:val="95"/>
              </w:rPr>
              <w:t>F-1</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22" w:right="2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ADMA Biologics,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ADMA Biologics, Inc. and Subsidiaries (the Company) as of December 31, 2017 and 2016, and the related consolidated statements of operations, changes in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2017 and 2016, and the results of its operations and its cash flows for the years then ended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further discussed in Note 1 to the accompanying consolidated financial statements, management believes that the Company will continue to incur net losses and negative net cash flows from operating activities through the drug development, approval and commercialization preparation process. These conditions raise substantial doubt about the Company’s ability to continue as a going concern. The consolidated financial statements do not include any adjustments that might result from the outcome of this uncertainty.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Roseland, New Jersey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2018</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70" w:name="page71"/>
    <w:bookmarkEnd w:id="70"/>
    <w:p>
      <w:pPr>
        <w:ind w:left="10400"/>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180" w:right="1560"/>
        <w:spacing w:after="0" w:line="250" w:lineRule="auto"/>
        <w:rPr>
          <w:sz w:val="20"/>
          <w:szCs w:val="20"/>
          <w:color w:val="auto"/>
        </w:rPr>
      </w:pPr>
      <w:r>
        <w:rPr>
          <w:rFonts w:ascii="Times New Roman" w:cs="Times New Roman" w:eastAsia="Times New Roman" w:hAnsi="Times New Roman"/>
          <w:sz w:val="18"/>
          <w:szCs w:val="18"/>
          <w:color w:val="auto"/>
        </w:rPr>
        <w:t>Cash and cash equivalents Short-term investments Accounts receivable, net Inventories</w:t>
      </w:r>
    </w:p>
    <w:p>
      <w:pPr>
        <w:spacing w:after="0" w:line="2" w:lineRule="exact"/>
        <w:rPr>
          <w:sz w:val="20"/>
          <w:szCs w:val="20"/>
          <w:color w:val="auto"/>
        </w:rPr>
      </w:pPr>
    </w:p>
    <w:p>
      <w:pPr>
        <w:ind w:left="180" w:right="480"/>
        <w:spacing w:after="0" w:line="255" w:lineRule="auto"/>
        <w:rPr>
          <w:sz w:val="20"/>
          <w:szCs w:val="20"/>
          <w:color w:val="auto"/>
        </w:rPr>
      </w:pPr>
      <w:r>
        <w:rPr>
          <w:rFonts w:ascii="Times New Roman" w:cs="Times New Roman" w:eastAsia="Times New Roman" w:hAnsi="Times New Roman"/>
          <w:sz w:val="18"/>
          <w:szCs w:val="18"/>
          <w:color w:val="auto"/>
        </w:rPr>
        <w:t>Prepaid expenses and other current assets Restricted cash</w:t>
      </w:r>
    </w:p>
    <w:p>
      <w:pPr>
        <w:spacing w:after="0" w:line="1" w:lineRule="exact"/>
        <w:rPr>
          <w:sz w:val="20"/>
          <w:szCs w:val="20"/>
          <w:color w:val="auto"/>
        </w:rPr>
      </w:pPr>
    </w:p>
    <w:p>
      <w:pPr>
        <w:ind w:right="1600" w:firstLine="513"/>
        <w:spacing w:after="0" w:line="255" w:lineRule="auto"/>
        <w:rPr>
          <w:sz w:val="20"/>
          <w:szCs w:val="20"/>
          <w:color w:val="auto"/>
        </w:rPr>
      </w:pPr>
      <w:r>
        <w:rPr>
          <w:rFonts w:ascii="Times New Roman" w:cs="Times New Roman" w:eastAsia="Times New Roman" w:hAnsi="Times New Roman"/>
          <w:sz w:val="18"/>
          <w:szCs w:val="18"/>
          <w:color w:val="auto"/>
        </w:rPr>
        <w:t>Total current assets Property and equipment, net Intangible assets, net Goodwill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to be transferred under purchase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and other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18"/>
          <w:szCs w:val="18"/>
          <w:b w:val="1"/>
          <w:bCs w:val="1"/>
          <w:color w:val="auto"/>
        </w:rPr>
        <w:t>December 31, 2017 and 2016</w:t>
      </w:r>
    </w:p>
    <w:p>
      <w:pPr>
        <w:spacing w:after="0" w:line="203"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623"/>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43,107,574</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9,914,867</w:t>
            </w:r>
          </w:p>
        </w:tc>
      </w:tr>
      <w:tr>
        <w:trPr>
          <w:trHeight w:val="216"/>
        </w:trPr>
        <w:tc>
          <w:tcPr>
            <w:tcW w:w="160" w:type="dxa"/>
            <w:vAlign w:val="bottom"/>
          </w:tcPr>
          <w:p>
            <w:pPr>
              <w:spacing w:after="0"/>
              <w:rPr>
                <w:sz w:val="18"/>
                <w:szCs w:val="18"/>
                <w:color w:val="auto"/>
              </w:rPr>
            </w:pPr>
          </w:p>
        </w:tc>
        <w:tc>
          <w:tcPr>
            <w:tcW w:w="15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5,390,184</w:t>
            </w:r>
          </w:p>
        </w:tc>
      </w:tr>
      <w:tr>
        <w:trPr>
          <w:trHeight w:val="216"/>
        </w:trPr>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3,880,154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1,018,027</w:t>
            </w:r>
          </w:p>
        </w:tc>
      </w:tr>
      <w:tr>
        <w:trPr>
          <w:trHeight w:val="216"/>
        </w:trPr>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12,628,181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5,020,146</w:t>
            </w:r>
          </w:p>
        </w:tc>
      </w:tr>
      <w:tr>
        <w:trPr>
          <w:trHeight w:val="230"/>
        </w:trPr>
        <w:tc>
          <w:tcPr>
            <w:tcW w:w="1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2,050,740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313,914</w:t>
            </w:r>
          </w:p>
        </w:tc>
      </w:tr>
      <w:tr>
        <w:trPr>
          <w:trHeight w:val="234"/>
        </w:trPr>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60" w:type="dxa"/>
            <w:vAlign w:val="bottom"/>
          </w:tcPr>
          <w:p>
            <w:pPr>
              <w:spacing w:after="0"/>
              <w:rPr>
                <w:sz w:val="16"/>
                <w:szCs w:val="16"/>
                <w:color w:val="auto"/>
              </w:rPr>
            </w:pPr>
          </w:p>
        </w:tc>
        <w:tc>
          <w:tcPr>
            <w:tcW w:w="1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63,166,649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21,657,138</w:t>
            </w:r>
          </w:p>
        </w:tc>
      </w:tr>
      <w:tr>
        <w:trPr>
          <w:trHeight w:val="216"/>
        </w:trPr>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30,466,858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2,000,784</w:t>
            </w:r>
          </w:p>
        </w:tc>
      </w:tr>
      <w:tr>
        <w:trPr>
          <w:trHeight w:val="216"/>
        </w:trPr>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4,849,350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3,529,509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1,496,410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4,000,000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510,057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27,163</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108,018,833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23,685,085</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-2272030</wp:posOffset>
            </wp:positionV>
            <wp:extent cx="72466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-1988820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-1714500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-1440180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-1156970</wp:posOffset>
            </wp:positionV>
            <wp:extent cx="72466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-874395</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-599440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-325120</wp:posOffset>
            </wp:positionV>
            <wp:extent cx="72466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640" w:space="140"/>
            <w:col w:w="7640"/>
          </w:cols>
          <w:pgMar w:left="240" w:top="225"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5,920,873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3,318,478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2,385,356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142,834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57,998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9,440,183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11,222,861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discount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25,368,458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12,321,640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term liability, notes payable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2,547,199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2,690,033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 related party, net of discount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14,842,396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Obligation to transfer assets under purchase agreement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12,621,844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105,996</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117,813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67,686,076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28,142,347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 shares issued and outstanding</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 voting, $0.0001 par value, 75,000,000 shares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36,725,499 and 12,886,741 shares issued and outstanding</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 non-voting, $0.0001 par value, 8,591,160 shares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8,591,160 and 0 shares issued and outstanding</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191,022,018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102,476,267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(150,693,793)</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(106,934,818)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40,332,757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108,018,833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23,685,085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right"/>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822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2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Years Ended December 31, 2017 and 2016</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revenue</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15,617,726</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10,518,203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License revenue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142,834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7,000,000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22,760,560</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10,661,037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product revenue (exclusive of amortization expense shown below)</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29,164,321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6,360,761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6,229,587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7,688,238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Plasma centers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6,503,750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5,447,691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 impairment charge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845,389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1,234,674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18,092,835</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8,494,742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62,070,556</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27,991,432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(39,309,996)</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(17,330,395)</w:t>
            </w: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420"/>
          </w:cols>
          <w:pgMar w:left="240" w:top="222"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and other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(expense)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880"/>
        <w:spacing w:after="0"/>
        <w:tabs>
          <w:tab w:leader="none" w:pos="2560" w:val="left"/>
        </w:tabs>
        <w:rPr>
          <w:sz w:val="20"/>
          <w:szCs w:val="20"/>
          <w:color w:val="auto"/>
        </w:rPr>
      </w:pPr>
      <w:r>
        <w:rPr>
          <w:rFonts w:ascii="Times New Roman" w:cs="Times New Roman" w:eastAsia="Times New Roman" w:hAnsi="Times New Roman"/>
          <w:sz w:val="18"/>
          <w:szCs w:val="18"/>
          <w:color w:val="auto"/>
        </w:rPr>
        <w:t>57,228</w:t>
      </w:r>
      <w:r>
        <w:rPr>
          <w:sz w:val="20"/>
          <w:szCs w:val="20"/>
          <w:color w:val="auto"/>
        </w:rPr>
        <w:tab/>
      </w:r>
      <w:r>
        <w:rPr>
          <w:rFonts w:ascii="Times New Roman" w:cs="Times New Roman" w:eastAsia="Times New Roman" w:hAnsi="Times New Roman"/>
          <w:sz w:val="18"/>
          <w:szCs w:val="18"/>
          <w:color w:val="auto"/>
        </w:rPr>
        <w:t>50,317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-256540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jc w:val="both"/>
        <w:ind w:left="600"/>
        <w:spacing w:after="0"/>
        <w:tabs>
          <w:tab w:leader="none" w:pos="2280" w:val="left"/>
        </w:tabs>
        <w:rPr>
          <w:sz w:val="20"/>
          <w:szCs w:val="20"/>
          <w:color w:val="auto"/>
        </w:rPr>
      </w:pPr>
      <w:r>
        <w:rPr>
          <w:rFonts w:ascii="Times New Roman" w:cs="Times New Roman" w:eastAsia="Times New Roman" w:hAnsi="Times New Roman"/>
          <w:sz w:val="18"/>
          <w:szCs w:val="18"/>
          <w:color w:val="auto"/>
        </w:rPr>
        <w:t>(3,285,847)</w:t>
      </w:r>
      <w:r>
        <w:rPr>
          <w:sz w:val="20"/>
          <w:szCs w:val="20"/>
          <w:color w:val="auto"/>
        </w:rPr>
        <w:tab/>
      </w:r>
      <w:r>
        <w:rPr>
          <w:rFonts w:ascii="Times New Roman" w:cs="Times New Roman" w:eastAsia="Times New Roman" w:hAnsi="Times New Roman"/>
          <w:sz w:val="18"/>
          <w:szCs w:val="18"/>
          <w:color w:val="auto"/>
        </w:rPr>
        <w:t>(2,239,569)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-130810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0"/>
        <w:spacing w:after="0"/>
        <w:tabs>
          <w:tab w:leader="none" w:pos="2780" w:val="left"/>
        </w:tabs>
        <w:rPr>
          <w:sz w:val="20"/>
          <w:szCs w:val="20"/>
          <w:color w:val="auto"/>
        </w:rPr>
      </w:pPr>
      <w:r>
        <w:rPr>
          <w:rFonts w:ascii="Times New Roman" w:cs="Times New Roman" w:eastAsia="Times New Roman" w:hAnsi="Times New Roman"/>
          <w:sz w:val="18"/>
          <w:szCs w:val="18"/>
          <w:color w:val="auto"/>
        </w:rPr>
        <w:t>(1,210,216)</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820"/>
        <w:spacing w:after="0"/>
        <w:tabs>
          <w:tab w:leader="none" w:pos="2640" w:val="left"/>
        </w:tabs>
        <w:rPr>
          <w:sz w:val="20"/>
          <w:szCs w:val="20"/>
          <w:color w:val="auto"/>
        </w:rPr>
      </w:pPr>
      <w:r>
        <w:rPr>
          <w:rFonts w:ascii="Times New Roman" w:cs="Times New Roman" w:eastAsia="Times New Roman" w:hAnsi="Times New Roman"/>
          <w:sz w:val="18"/>
          <w:szCs w:val="18"/>
          <w:color w:val="auto"/>
        </w:rPr>
        <w:t>(10,144)</w:t>
      </w:r>
      <w:r>
        <w:rPr>
          <w:sz w:val="20"/>
          <w:szCs w:val="20"/>
          <w:color w:val="auto"/>
        </w:rPr>
        <w:tab/>
      </w:r>
      <w:r>
        <w:rPr>
          <w:rFonts w:ascii="Times New Roman" w:cs="Times New Roman" w:eastAsia="Times New Roman" w:hAnsi="Times New Roman"/>
          <w:sz w:val="18"/>
          <w:szCs w:val="18"/>
          <w:color w:val="auto"/>
        </w:rPr>
        <w:t>4,496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-130810</wp:posOffset>
            </wp:positionV>
            <wp:extent cx="72466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jc w:val="both"/>
        <w:ind w:left="600"/>
        <w:spacing w:after="0"/>
        <w:tabs>
          <w:tab w:leader="none" w:pos="2280" w:val="left"/>
        </w:tabs>
        <w:rPr>
          <w:sz w:val="20"/>
          <w:szCs w:val="20"/>
          <w:color w:val="auto"/>
        </w:rPr>
      </w:pPr>
      <w:r>
        <w:rPr>
          <w:rFonts w:ascii="Times New Roman" w:cs="Times New Roman" w:eastAsia="Times New Roman" w:hAnsi="Times New Roman"/>
          <w:sz w:val="18"/>
          <w:szCs w:val="18"/>
          <w:color w:val="auto"/>
        </w:rPr>
        <w:t>(4,448,979)</w:t>
      </w:r>
      <w:r>
        <w:rPr>
          <w:sz w:val="20"/>
          <w:szCs w:val="20"/>
          <w:color w:val="auto"/>
        </w:rPr>
        <w:tab/>
      </w:r>
      <w:r>
        <w:rPr>
          <w:rFonts w:ascii="Times New Roman" w:cs="Times New Roman" w:eastAsia="Times New Roman" w:hAnsi="Times New Roman"/>
          <w:sz w:val="18"/>
          <w:szCs w:val="18"/>
          <w:color w:val="auto"/>
        </w:rPr>
        <w:t>(2,184,756)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14605</wp:posOffset>
            </wp:positionV>
            <wp:extent cx="72466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-130810</wp:posOffset>
            </wp:positionV>
            <wp:extent cx="20237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41" w:lineRule="exact"/>
        <w:rPr>
          <w:sz w:val="20"/>
          <w:szCs w:val="20"/>
          <w:color w:val="auto"/>
        </w:rPr>
      </w:pPr>
    </w:p>
    <w:p>
      <w:pPr>
        <w:spacing w:after="0"/>
        <w:tabs>
          <w:tab w:leader="none" w:pos="480" w:val="left"/>
          <w:tab w:leader="none" w:pos="1700" w:val="left"/>
          <w:tab w:leader="none" w:pos="2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(43,758,975)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(19,515,151)</w:t>
      </w:r>
    </w:p>
    <w:p>
      <w:pPr>
        <w:spacing w:after="0" w:line="27" w:lineRule="exact"/>
        <w:rPr>
          <w:sz w:val="20"/>
          <w:szCs w:val="20"/>
          <w:color w:val="auto"/>
        </w:rPr>
      </w:pPr>
    </w:p>
    <w:p>
      <w:pPr>
        <w:sectPr>
          <w:pgSz w:w="11900" w:h="16838" w:orient="portrait"/>
          <w:cols w:equalWidth="0" w:num="2">
            <w:col w:w="7520" w:space="720"/>
            <w:col w:w="3180"/>
          </w:cols>
          <w:pgMar w:left="240" w:top="222"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2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COMMON SHARE</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22,896,042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12,153,407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72" w:name="page73"/>
    <w:bookmarkEnd w:id="72"/>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ADMA BIOLOGICS, INC. AND SUBSIDIARIES CONSOLIDATED STATEMENTS OF CHANGES IN STOCKHOLDERS’ EQUITY (DEFICIT) Years Ended December 31, 2017 and 2016</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10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9"/>
                <w:szCs w:val="9"/>
                <w:b w:val="1"/>
                <w:bCs w:val="1"/>
                <w:color w:val="auto"/>
              </w:rPr>
              <w:t>Additional</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00"/>
        </w:trPr>
        <w:tc>
          <w:tcPr>
            <w:tcW w:w="3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gridSpan w:val="3"/>
          </w:tcPr>
          <w:p>
            <w:pPr>
              <w:jc w:val="right"/>
              <w:ind w:right="133"/>
              <w:spacing w:after="0" w:line="100" w:lineRule="exact"/>
              <w:rPr>
                <w:sz w:val="20"/>
                <w:szCs w:val="20"/>
                <w:color w:val="auto"/>
              </w:rPr>
            </w:pPr>
            <w:r>
              <w:rPr>
                <w:rFonts w:ascii="Times New Roman" w:cs="Times New Roman" w:eastAsia="Times New Roman" w:hAnsi="Times New Roman"/>
                <w:sz w:val="9"/>
                <w:szCs w:val="9"/>
                <w:b w:val="1"/>
                <w:bCs w:val="1"/>
                <w:color w:val="auto"/>
              </w:rPr>
              <w:t>Voting</w:t>
            </w: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3"/>
          </w:tcPr>
          <w:p>
            <w:pPr>
              <w:ind w:left="620"/>
              <w:spacing w:after="0" w:line="100" w:lineRule="exact"/>
              <w:rPr>
                <w:sz w:val="20"/>
                <w:szCs w:val="20"/>
                <w:color w:val="auto"/>
              </w:rPr>
            </w:pPr>
            <w:r>
              <w:rPr>
                <w:rFonts w:ascii="Times New Roman" w:cs="Times New Roman" w:eastAsia="Times New Roman" w:hAnsi="Times New Roman"/>
                <w:sz w:val="9"/>
                <w:szCs w:val="9"/>
                <w:b w:val="1"/>
                <w:bCs w:val="1"/>
                <w:color w:val="auto"/>
              </w:rPr>
              <w:t>Non-Voting</w:t>
            </w: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tcPr>
          <w:p>
            <w:pPr>
              <w:jc w:val="center"/>
              <w:ind w:right="380"/>
              <w:spacing w:after="0" w:line="100" w:lineRule="exact"/>
              <w:rPr>
                <w:sz w:val="20"/>
                <w:szCs w:val="20"/>
                <w:color w:val="auto"/>
              </w:rPr>
            </w:pPr>
            <w:r>
              <w:rPr>
                <w:rFonts w:ascii="Times New Roman" w:cs="Times New Roman" w:eastAsia="Times New Roman" w:hAnsi="Times New Roman"/>
                <w:sz w:val="9"/>
                <w:szCs w:val="9"/>
                <w:b w:val="1"/>
                <w:bCs w:val="1"/>
                <w:color w:val="auto"/>
                <w:w w:val="99"/>
              </w:rPr>
              <w:t>Paid-in</w:t>
            </w:r>
          </w:p>
        </w:tc>
        <w:tc>
          <w:tcPr>
            <w:tcW w:w="140" w:type="dxa"/>
            <w:vAlign w:val="bottom"/>
          </w:tcPr>
          <w:p>
            <w:pPr>
              <w:spacing w:after="0"/>
              <w:rPr>
                <w:sz w:val="8"/>
                <w:szCs w:val="8"/>
                <w:color w:val="auto"/>
              </w:rPr>
            </w:pPr>
          </w:p>
        </w:tc>
        <w:tc>
          <w:tcPr>
            <w:tcW w:w="1080" w:type="dxa"/>
            <w:vAlign w:val="bottom"/>
            <w:gridSpan w:val="2"/>
          </w:tcPr>
          <w:p>
            <w:pPr>
              <w:ind w:left="100"/>
              <w:spacing w:after="0" w:line="100"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123"/>
        </w:trPr>
        <w:tc>
          <w:tcPr>
            <w:tcW w:w="3100" w:type="dxa"/>
            <w:vAlign w:val="bottom"/>
          </w:tcPr>
          <w:p>
            <w:pPr>
              <w:spacing w:after="0"/>
              <w:rPr>
                <w:sz w:val="10"/>
                <w:szCs w:val="10"/>
                <w:color w:val="auto"/>
              </w:rPr>
            </w:pPr>
          </w:p>
        </w:tc>
        <w:tc>
          <w:tcPr>
            <w:tcW w:w="1000" w:type="dxa"/>
            <w:vAlign w:val="bottom"/>
          </w:tcPr>
          <w:p>
            <w:pPr>
              <w:jc w:val="right"/>
              <w:ind w:right="293"/>
              <w:spacing w:after="0"/>
              <w:rPr>
                <w:sz w:val="20"/>
                <w:szCs w:val="20"/>
                <w:color w:val="auto"/>
              </w:rPr>
            </w:pPr>
            <w:r>
              <w:rPr>
                <w:rFonts w:ascii="Times New Roman" w:cs="Times New Roman" w:eastAsia="Times New Roman" w:hAnsi="Times New Roman"/>
                <w:sz w:val="9"/>
                <w:szCs w:val="9"/>
                <w:b w:val="1"/>
                <w:bCs w:val="1"/>
                <w:color w:val="auto"/>
              </w:rPr>
              <w:t>Shares</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9"/>
                <w:szCs w:val="9"/>
                <w:b w:val="1"/>
                <w:bCs w:val="1"/>
                <w:color w:val="auto"/>
              </w:rPr>
              <w:t>Amount</w:t>
            </w:r>
          </w:p>
        </w:tc>
        <w:tc>
          <w:tcPr>
            <w:tcW w:w="74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Shares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9"/>
                <w:szCs w:val="9"/>
                <w:b w:val="1"/>
                <w:bCs w:val="1"/>
                <w:color w:val="auto"/>
              </w:rPr>
              <w:t>Amount</w:t>
            </w:r>
          </w:p>
        </w:tc>
        <w:tc>
          <w:tcPr>
            <w:tcW w:w="160" w:type="dxa"/>
            <w:vAlign w:val="bottom"/>
          </w:tcPr>
          <w:p>
            <w:pPr>
              <w:spacing w:after="0"/>
              <w:rPr>
                <w:sz w:val="10"/>
                <w:szCs w:val="10"/>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9"/>
                <w:szCs w:val="9"/>
                <w:b w:val="1"/>
                <w:bCs w:val="1"/>
                <w:color w:val="auto"/>
              </w:rPr>
              <w:t>Capital</w:t>
            </w:r>
          </w:p>
        </w:tc>
        <w:tc>
          <w:tcPr>
            <w:tcW w:w="140" w:type="dxa"/>
            <w:vAlign w:val="bottom"/>
          </w:tcPr>
          <w:p>
            <w:pPr>
              <w:spacing w:after="0"/>
              <w:rPr>
                <w:sz w:val="10"/>
                <w:szCs w:val="10"/>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9"/>
                <w:szCs w:val="9"/>
                <w:b w:val="1"/>
                <w:bCs w:val="1"/>
                <w:color w:val="auto"/>
              </w:rPr>
              <w:t>Deficit</w:t>
            </w:r>
          </w:p>
        </w:tc>
        <w:tc>
          <w:tcPr>
            <w:tcW w:w="200" w:type="dxa"/>
            <w:vAlign w:val="bottom"/>
          </w:tcPr>
          <w:p>
            <w:pPr>
              <w:spacing w:after="0"/>
              <w:rPr>
                <w:sz w:val="10"/>
                <w:szCs w:val="10"/>
                <w:color w:val="auto"/>
              </w:rPr>
            </w:pPr>
          </w:p>
        </w:tc>
        <w:tc>
          <w:tcPr>
            <w:tcW w:w="660" w:type="dxa"/>
            <w:vAlign w:val="bottom"/>
          </w:tcPr>
          <w:p>
            <w:pPr>
              <w:jc w:val="right"/>
              <w:ind w:right="273"/>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102"/>
        </w:trPr>
        <w:tc>
          <w:tcPr>
            <w:tcW w:w="3100" w:type="dxa"/>
            <w:vAlign w:val="bottom"/>
            <w:tcBorders>
              <w:top w:val="single" w:sz="8" w:color="CCEEFF"/>
            </w:tcBorders>
            <w:shd w:val="clear" w:color="auto" w:fill="CCEEFF"/>
          </w:tcPr>
          <w:p>
            <w:pPr>
              <w:spacing w:after="0" w:line="102" w:lineRule="exact"/>
              <w:rPr>
                <w:sz w:val="20"/>
                <w:szCs w:val="20"/>
                <w:color w:val="auto"/>
              </w:rPr>
            </w:pPr>
            <w:r>
              <w:rPr>
                <w:rFonts w:ascii="Times New Roman" w:cs="Times New Roman" w:eastAsia="Times New Roman" w:hAnsi="Times New Roman"/>
                <w:sz w:val="9"/>
                <w:szCs w:val="9"/>
                <w:color w:val="auto"/>
              </w:rPr>
              <w:t>Balance at December 31, 2015</w:t>
            </w:r>
          </w:p>
        </w:tc>
        <w:tc>
          <w:tcPr>
            <w:tcW w:w="1000" w:type="dxa"/>
            <w:vAlign w:val="bottom"/>
            <w:tcBorders>
              <w:top w:val="single" w:sz="8" w:color="auto"/>
            </w:tcBorders>
            <w:shd w:val="clear" w:color="auto" w:fill="CCEEFF"/>
          </w:tcPr>
          <w:p>
            <w:pPr>
              <w:jc w:val="right"/>
              <w:ind w:right="13"/>
              <w:spacing w:after="0" w:line="102" w:lineRule="exact"/>
              <w:rPr>
                <w:sz w:val="20"/>
                <w:szCs w:val="20"/>
                <w:color w:val="auto"/>
              </w:rPr>
            </w:pPr>
            <w:r>
              <w:rPr>
                <w:rFonts w:ascii="Times New Roman" w:cs="Times New Roman" w:eastAsia="Times New Roman" w:hAnsi="Times New Roman"/>
                <w:sz w:val="9"/>
                <w:szCs w:val="9"/>
                <w:color w:val="auto"/>
              </w:rPr>
              <w:t>10,713,087</w:t>
            </w:r>
          </w:p>
        </w:tc>
        <w:tc>
          <w:tcPr>
            <w:tcW w:w="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jc w:val="right"/>
              <w:ind w:right="93"/>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860" w:type="dxa"/>
            <w:vAlign w:val="bottom"/>
            <w:tcBorders>
              <w:top w:val="single" w:sz="8" w:color="auto"/>
            </w:tcBorders>
            <w:shd w:val="clear" w:color="auto" w:fill="CCEEFF"/>
          </w:tcPr>
          <w:p>
            <w:pPr>
              <w:jc w:val="right"/>
              <w:ind w:right="73"/>
              <w:spacing w:after="0" w:line="102" w:lineRule="exact"/>
              <w:rPr>
                <w:sz w:val="20"/>
                <w:szCs w:val="20"/>
                <w:color w:val="auto"/>
              </w:rPr>
            </w:pPr>
            <w:r>
              <w:rPr>
                <w:rFonts w:ascii="Times New Roman" w:cs="Times New Roman" w:eastAsia="Times New Roman" w:hAnsi="Times New Roman"/>
                <w:sz w:val="9"/>
                <w:szCs w:val="9"/>
                <w:color w:val="auto"/>
              </w:rPr>
              <w:t>1,072</w:t>
            </w:r>
          </w:p>
        </w:tc>
        <w:tc>
          <w:tcPr>
            <w:tcW w:w="2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ind w:left="500"/>
              <w:spacing w:after="0" w:line="102"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tcBorders>
            <w:shd w:val="clear" w:color="auto" w:fill="CCEEFF"/>
          </w:tcPr>
          <w:p>
            <w:pPr>
              <w:ind w:left="520"/>
              <w:spacing w:after="0" w:line="102"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top w:val="single" w:sz="8" w:color="auto"/>
            </w:tcBorders>
            <w:shd w:val="clear" w:color="auto" w:fill="CCEEFF"/>
          </w:tcPr>
          <w:p>
            <w:pPr>
              <w:jc w:val="right"/>
              <w:ind w:right="53"/>
              <w:spacing w:after="0" w:line="102" w:lineRule="exact"/>
              <w:rPr>
                <w:sz w:val="20"/>
                <w:szCs w:val="20"/>
                <w:color w:val="auto"/>
              </w:rPr>
            </w:pPr>
            <w:r>
              <w:rPr>
                <w:rFonts w:ascii="Times New Roman" w:cs="Times New Roman" w:eastAsia="Times New Roman" w:hAnsi="Times New Roman"/>
                <w:sz w:val="9"/>
                <w:szCs w:val="9"/>
                <w:color w:val="auto"/>
              </w:rPr>
              <w:t>88,239,569</w:t>
            </w:r>
          </w:p>
        </w:tc>
        <w:tc>
          <w:tcPr>
            <w:tcW w:w="2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tcBorders>
            <w:shd w:val="clear" w:color="auto" w:fill="CCEEFF"/>
          </w:tcPr>
          <w:p>
            <w:pPr>
              <w:jc w:val="right"/>
              <w:ind w:right="33"/>
              <w:spacing w:after="0" w:line="102" w:lineRule="exact"/>
              <w:rPr>
                <w:sz w:val="20"/>
                <w:szCs w:val="20"/>
                <w:color w:val="auto"/>
              </w:rPr>
            </w:pPr>
            <w:r>
              <w:rPr>
                <w:rFonts w:ascii="Times New Roman" w:cs="Times New Roman" w:eastAsia="Times New Roman" w:hAnsi="Times New Roman"/>
                <w:sz w:val="9"/>
                <w:szCs w:val="9"/>
                <w:color w:val="auto"/>
              </w:rPr>
              <w:t>(87,419,667)</w:t>
            </w:r>
          </w:p>
        </w:tc>
        <w:tc>
          <w:tcPr>
            <w:tcW w:w="2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jc w:val="right"/>
              <w:ind w:right="93"/>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top w:val="single" w:sz="8" w:color="auto"/>
            </w:tcBorders>
            <w:shd w:val="clear" w:color="auto" w:fill="CCEEFF"/>
          </w:tcPr>
          <w:p>
            <w:pPr>
              <w:jc w:val="right"/>
              <w:ind w:right="13"/>
              <w:spacing w:after="0" w:line="102" w:lineRule="exact"/>
              <w:rPr>
                <w:sz w:val="20"/>
                <w:szCs w:val="20"/>
                <w:color w:val="auto"/>
              </w:rPr>
            </w:pPr>
            <w:r>
              <w:rPr>
                <w:rFonts w:ascii="Times New Roman" w:cs="Times New Roman" w:eastAsia="Times New Roman" w:hAnsi="Times New Roman"/>
                <w:sz w:val="9"/>
                <w:szCs w:val="9"/>
                <w:color w:val="auto"/>
              </w:rPr>
              <w:t>820,974</w:t>
            </w:r>
          </w:p>
        </w:tc>
      </w:tr>
      <w:tr>
        <w:trPr>
          <w:trHeight w:val="108"/>
        </w:trPr>
        <w:tc>
          <w:tcPr>
            <w:tcW w:w="3100" w:type="dxa"/>
            <w:vAlign w:val="bottom"/>
          </w:tcPr>
          <w:p>
            <w:pPr>
              <w:spacing w:after="0"/>
              <w:rPr>
                <w:sz w:val="20"/>
                <w:szCs w:val="20"/>
                <w:color w:val="auto"/>
              </w:rPr>
            </w:pPr>
            <w:r>
              <w:rPr>
                <w:rFonts w:ascii="Times New Roman" w:cs="Times New Roman" w:eastAsia="Times New Roman" w:hAnsi="Times New Roman"/>
                <w:sz w:val="9"/>
                <w:szCs w:val="9"/>
                <w:color w:val="auto"/>
              </w:rPr>
              <w:t>Issuance of common stock, net of offering expenses</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2,176,154</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9"/>
                <w:szCs w:val="9"/>
                <w:color w:val="auto"/>
              </w:rPr>
              <w:t>217</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9"/>
                <w:szCs w:val="9"/>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12,900,324</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9"/>
                <w:szCs w:val="9"/>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12,900,541</w:t>
            </w:r>
          </w:p>
        </w:tc>
      </w:tr>
      <w:tr>
        <w:trPr>
          <w:trHeight w:val="10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Stock-based compensation</w:t>
            </w: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9"/>
                <w:szCs w:val="9"/>
                <w:color w:val="auto"/>
              </w:rPr>
              <w:t>1,250,074</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1,250,074</w:t>
            </w:r>
          </w:p>
        </w:tc>
      </w:tr>
      <w:tr>
        <w:trPr>
          <w:trHeight w:val="108"/>
        </w:trPr>
        <w:tc>
          <w:tcPr>
            <w:tcW w:w="3100" w:type="dxa"/>
            <w:vAlign w:val="bottom"/>
          </w:tcPr>
          <w:p>
            <w:pPr>
              <w:spacing w:after="0"/>
              <w:rPr>
                <w:sz w:val="20"/>
                <w:szCs w:val="20"/>
                <w:color w:val="auto"/>
              </w:rPr>
            </w:pPr>
            <w:r>
              <w:rPr>
                <w:rFonts w:ascii="Times New Roman" w:cs="Times New Roman" w:eastAsia="Times New Roman" w:hAnsi="Times New Roman"/>
                <w:sz w:val="9"/>
                <w:szCs w:val="9"/>
                <w:color w:val="auto"/>
              </w:rPr>
              <w:t>Restricted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(2,500)</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9"/>
                <w:szCs w:val="9"/>
                <w:color w:val="auto"/>
              </w:rPr>
            </w:pP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9"/>
                <w:szCs w:val="9"/>
                <w:color w:val="auto"/>
              </w:rPr>
            </w:pP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r>
      <w:tr>
        <w:trPr>
          <w:trHeight w:val="10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Warrants issued in connection with note payable</w:t>
            </w: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9"/>
                <w:szCs w:val="9"/>
                <w:color w:val="auto"/>
              </w:rPr>
              <w:t>86,300</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86,300</w:t>
            </w:r>
          </w:p>
        </w:tc>
      </w:tr>
      <w:tr>
        <w:trPr>
          <w:trHeight w:val="122"/>
        </w:trPr>
        <w:tc>
          <w:tcPr>
            <w:tcW w:w="3100" w:type="dxa"/>
            <w:vAlign w:val="bottom"/>
          </w:tcPr>
          <w:p>
            <w:pPr>
              <w:spacing w:after="0"/>
              <w:rPr>
                <w:sz w:val="20"/>
                <w:szCs w:val="20"/>
                <w:color w:val="auto"/>
              </w:rPr>
            </w:pPr>
            <w:r>
              <w:rPr>
                <w:rFonts w:ascii="Times New Roman" w:cs="Times New Roman" w:eastAsia="Times New Roman" w:hAnsi="Times New Roman"/>
                <w:sz w:val="9"/>
                <w:szCs w:val="9"/>
                <w:color w:val="auto"/>
              </w:rPr>
              <w:t>Net loss</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(19,515,151)</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(19,515,151)</w:t>
            </w:r>
          </w:p>
        </w:tc>
      </w:tr>
      <w:tr>
        <w:trPr>
          <w:trHeight w:val="102"/>
        </w:trPr>
        <w:tc>
          <w:tcPr>
            <w:tcW w:w="3100" w:type="dxa"/>
            <w:vAlign w:val="bottom"/>
            <w:tcBorders>
              <w:top w:val="single" w:sz="8" w:color="CCEEFF"/>
            </w:tcBorders>
            <w:shd w:val="clear" w:color="auto" w:fill="CCEEFF"/>
          </w:tcPr>
          <w:p>
            <w:pPr>
              <w:spacing w:after="0" w:line="102" w:lineRule="exact"/>
              <w:rPr>
                <w:sz w:val="20"/>
                <w:szCs w:val="20"/>
                <w:color w:val="auto"/>
              </w:rPr>
            </w:pPr>
            <w:r>
              <w:rPr>
                <w:rFonts w:ascii="Times New Roman" w:cs="Times New Roman" w:eastAsia="Times New Roman" w:hAnsi="Times New Roman"/>
                <w:sz w:val="9"/>
                <w:szCs w:val="9"/>
                <w:color w:val="auto"/>
              </w:rPr>
              <w:t>Balance at December 31, 2016</w:t>
            </w:r>
          </w:p>
        </w:tc>
        <w:tc>
          <w:tcPr>
            <w:tcW w:w="1000" w:type="dxa"/>
            <w:vAlign w:val="bottom"/>
            <w:tcBorders>
              <w:top w:val="single" w:sz="8" w:color="auto"/>
            </w:tcBorders>
            <w:shd w:val="clear" w:color="auto" w:fill="CCEEFF"/>
          </w:tcPr>
          <w:p>
            <w:pPr>
              <w:jc w:val="right"/>
              <w:ind w:right="13"/>
              <w:spacing w:after="0" w:line="102" w:lineRule="exact"/>
              <w:rPr>
                <w:sz w:val="20"/>
                <w:szCs w:val="20"/>
                <w:color w:val="auto"/>
              </w:rPr>
            </w:pPr>
            <w:r>
              <w:rPr>
                <w:rFonts w:ascii="Times New Roman" w:cs="Times New Roman" w:eastAsia="Times New Roman" w:hAnsi="Times New Roman"/>
                <w:sz w:val="9"/>
                <w:szCs w:val="9"/>
                <w:color w:val="auto"/>
              </w:rPr>
              <w:t>12,886,741</w:t>
            </w:r>
          </w:p>
        </w:tc>
        <w:tc>
          <w:tcPr>
            <w:tcW w:w="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jc w:val="right"/>
              <w:ind w:right="73"/>
              <w:spacing w:after="0" w:line="102" w:lineRule="exact"/>
              <w:rPr>
                <w:sz w:val="20"/>
                <w:szCs w:val="20"/>
                <w:color w:val="auto"/>
              </w:rPr>
            </w:pPr>
            <w:r>
              <w:rPr>
                <w:rFonts w:ascii="Times New Roman" w:cs="Times New Roman" w:eastAsia="Times New Roman" w:hAnsi="Times New Roman"/>
                <w:sz w:val="9"/>
                <w:szCs w:val="9"/>
                <w:color w:val="auto"/>
              </w:rPr>
              <w:t>1,289</w:t>
            </w:r>
          </w:p>
        </w:tc>
        <w:tc>
          <w:tcPr>
            <w:tcW w:w="2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ind w:left="500"/>
              <w:spacing w:after="0" w:line="102"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ind w:left="520"/>
              <w:spacing w:after="0" w:line="102"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jc w:val="right"/>
              <w:ind w:right="53"/>
              <w:spacing w:after="0" w:line="102" w:lineRule="exact"/>
              <w:rPr>
                <w:sz w:val="20"/>
                <w:szCs w:val="20"/>
                <w:color w:val="auto"/>
              </w:rPr>
            </w:pPr>
            <w:r>
              <w:rPr>
                <w:rFonts w:ascii="Times New Roman" w:cs="Times New Roman" w:eastAsia="Times New Roman" w:hAnsi="Times New Roman"/>
                <w:sz w:val="9"/>
                <w:szCs w:val="9"/>
                <w:color w:val="auto"/>
              </w:rPr>
              <w:t>102,476,267</w:t>
            </w:r>
          </w:p>
        </w:tc>
        <w:tc>
          <w:tcPr>
            <w:tcW w:w="2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jc w:val="right"/>
              <w:ind w:right="33"/>
              <w:spacing w:after="0" w:line="102" w:lineRule="exact"/>
              <w:rPr>
                <w:sz w:val="20"/>
                <w:szCs w:val="20"/>
                <w:color w:val="auto"/>
              </w:rPr>
            </w:pPr>
            <w:r>
              <w:rPr>
                <w:rFonts w:ascii="Times New Roman" w:cs="Times New Roman" w:eastAsia="Times New Roman" w:hAnsi="Times New Roman"/>
                <w:sz w:val="9"/>
                <w:szCs w:val="9"/>
                <w:color w:val="auto"/>
              </w:rPr>
              <w:t>(106,934,818)</w:t>
            </w:r>
          </w:p>
        </w:tc>
        <w:tc>
          <w:tcPr>
            <w:tcW w:w="2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9"/>
                <w:szCs w:val="9"/>
                <w:color w:val="auto"/>
              </w:rPr>
              <w:t>(4,457,262)</w:t>
            </w:r>
          </w:p>
        </w:tc>
      </w:tr>
      <w:tr>
        <w:trPr>
          <w:trHeight w:val="108"/>
        </w:trPr>
        <w:tc>
          <w:tcPr>
            <w:tcW w:w="3100" w:type="dxa"/>
            <w:vAlign w:val="bottom"/>
          </w:tcPr>
          <w:p>
            <w:pPr>
              <w:spacing w:after="0"/>
              <w:rPr>
                <w:sz w:val="20"/>
                <w:szCs w:val="20"/>
                <w:color w:val="auto"/>
              </w:rPr>
            </w:pPr>
            <w:r>
              <w:rPr>
                <w:rFonts w:ascii="Times New Roman" w:cs="Times New Roman" w:eastAsia="Times New Roman" w:hAnsi="Times New Roman"/>
                <w:sz w:val="9"/>
                <w:szCs w:val="9"/>
                <w:color w:val="auto"/>
              </w:rPr>
              <w:t>Stock-based compensation</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9"/>
                <w:szCs w:val="9"/>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1,561,659</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9"/>
                <w:szCs w:val="9"/>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1,561,659</w:t>
            </w:r>
          </w:p>
        </w:tc>
      </w:tr>
      <w:tr>
        <w:trPr>
          <w:trHeight w:val="10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Shares issued in connection with acquisition</w:t>
            </w: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4,295,580</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9"/>
                <w:szCs w:val="9"/>
                <w:color w:val="auto"/>
              </w:rPr>
              <w:t>430</w:t>
            </w: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9"/>
                <w:szCs w:val="9"/>
                <w:color w:val="auto"/>
              </w:rPr>
              <w:t>8,591,160</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9"/>
                <w:szCs w:val="9"/>
                <w:color w:val="auto"/>
              </w:rPr>
              <w:t>859</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9"/>
                <w:szCs w:val="9"/>
                <w:color w:val="auto"/>
              </w:rPr>
              <w:t>47,164,179</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47,165,468</w:t>
            </w:r>
          </w:p>
        </w:tc>
      </w:tr>
      <w:tr>
        <w:trPr>
          <w:trHeight w:val="108"/>
        </w:trPr>
        <w:tc>
          <w:tcPr>
            <w:tcW w:w="3100" w:type="dxa"/>
            <w:vAlign w:val="bottom"/>
          </w:tcPr>
          <w:p>
            <w:pPr>
              <w:spacing w:after="0"/>
              <w:rPr>
                <w:sz w:val="20"/>
                <w:szCs w:val="20"/>
                <w:color w:val="auto"/>
              </w:rPr>
            </w:pPr>
            <w:r>
              <w:rPr>
                <w:rFonts w:ascii="Times New Roman" w:cs="Times New Roman" w:eastAsia="Times New Roman" w:hAnsi="Times New Roman"/>
                <w:sz w:val="9"/>
                <w:szCs w:val="9"/>
                <w:color w:val="auto"/>
              </w:rPr>
              <w:t>Warrants issued in connection with note payable</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9"/>
                <w:szCs w:val="9"/>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614,513</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9"/>
                <w:szCs w:val="9"/>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614,513</w:t>
            </w:r>
          </w:p>
        </w:tc>
      </w:tr>
      <w:tr>
        <w:trPr>
          <w:trHeight w:val="10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Issuance of common stock, net of offering expenses</w:t>
            </w: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19,523,255</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9"/>
                <w:szCs w:val="9"/>
                <w:color w:val="auto"/>
              </w:rPr>
              <w:t>1,952</w:t>
            </w: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9"/>
                <w:szCs w:val="9"/>
                <w:color w:val="auto"/>
              </w:rPr>
              <w:t>39,197,898</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39,199,850</w:t>
            </w:r>
          </w:p>
        </w:tc>
      </w:tr>
      <w:tr>
        <w:trPr>
          <w:trHeight w:val="108"/>
        </w:trPr>
        <w:tc>
          <w:tcPr>
            <w:tcW w:w="3100" w:type="dxa"/>
            <w:vAlign w:val="bottom"/>
          </w:tcPr>
          <w:p>
            <w:pPr>
              <w:spacing w:after="0"/>
              <w:rPr>
                <w:sz w:val="20"/>
                <w:szCs w:val="20"/>
                <w:color w:val="auto"/>
              </w:rPr>
            </w:pPr>
            <w:r>
              <w:rPr>
                <w:rFonts w:ascii="Times New Roman" w:cs="Times New Roman" w:eastAsia="Times New Roman" w:hAnsi="Times New Roman"/>
                <w:sz w:val="9"/>
                <w:szCs w:val="9"/>
                <w:color w:val="auto"/>
              </w:rPr>
              <w:t>Stock options exercised</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19,923</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9"/>
                <w:szCs w:val="9"/>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7,502</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9"/>
                <w:szCs w:val="9"/>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7,504</w:t>
            </w:r>
          </w:p>
        </w:tc>
      </w:tr>
      <w:tr>
        <w:trPr>
          <w:trHeight w:val="12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Net loss</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(43,758,975)</w:t>
            </w:r>
          </w:p>
        </w:tc>
        <w:tc>
          <w:tcPr>
            <w:tcW w:w="2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(43,758,975)</w:t>
            </w: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9"/>
                <w:szCs w:val="9"/>
                <w:color w:val="auto"/>
              </w:rPr>
              <w:t>Balance at December 31, 2017</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36,725,499</w:t>
            </w:r>
          </w:p>
        </w:tc>
        <w:tc>
          <w:tcPr>
            <w:tcW w:w="480" w:type="dxa"/>
            <w:vAlign w:val="bottom"/>
            <w:gridSpan w:val="3"/>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3,673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9"/>
                <w:szCs w:val="9"/>
                <w:color w:val="auto"/>
              </w:rPr>
              <w:t>8,591,160</w:t>
            </w:r>
          </w:p>
        </w:tc>
        <w:tc>
          <w:tcPr>
            <w:tcW w:w="460" w:type="dxa"/>
            <w:vAlign w:val="bottom"/>
            <w:gridSpan w:val="2"/>
          </w:tcPr>
          <w:p>
            <w:pPr>
              <w:jc w:val="right"/>
              <w:ind w:right="176"/>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tcPr>
          <w:p>
            <w:pPr>
              <w:ind w:left="520"/>
              <w:spacing w:after="0"/>
              <w:rPr>
                <w:sz w:val="20"/>
                <w:szCs w:val="20"/>
                <w:color w:val="auto"/>
              </w:rPr>
            </w:pPr>
            <w:r>
              <w:rPr>
                <w:rFonts w:ascii="Times New Roman" w:cs="Times New Roman" w:eastAsia="Times New Roman" w:hAnsi="Times New Roman"/>
                <w:sz w:val="9"/>
                <w:szCs w:val="9"/>
                <w:color w:val="auto"/>
              </w:rPr>
              <w:t>859</w:t>
            </w:r>
          </w:p>
        </w:tc>
        <w:tc>
          <w:tcPr>
            <w:tcW w:w="220" w:type="dxa"/>
            <w:vAlign w:val="bottom"/>
          </w:tcPr>
          <w:p>
            <w:pPr>
              <w:spacing w:after="0"/>
              <w:rPr>
                <w:sz w:val="18"/>
                <w:szCs w:val="18"/>
                <w:color w:val="auto"/>
              </w:rPr>
            </w:pPr>
          </w:p>
        </w:tc>
        <w:tc>
          <w:tcPr>
            <w:tcW w:w="160" w:type="dxa"/>
            <w:vAlign w:val="bottom"/>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191,022,018</w:t>
            </w:r>
          </w:p>
        </w:tc>
        <w:tc>
          <w:tcPr>
            <w:tcW w:w="220" w:type="dxa"/>
            <w:vAlign w:val="bottom"/>
          </w:tcPr>
          <w:p>
            <w:pPr>
              <w:spacing w:after="0"/>
              <w:rPr>
                <w:sz w:val="18"/>
                <w:szCs w:val="18"/>
                <w:color w:val="auto"/>
              </w:rPr>
            </w:pPr>
          </w:p>
        </w:tc>
        <w:tc>
          <w:tcPr>
            <w:tcW w:w="140" w:type="dxa"/>
            <w:vAlign w:val="bottom"/>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(150,693,793)</w:t>
            </w:r>
          </w:p>
        </w:tc>
        <w:tc>
          <w:tcPr>
            <w:tcW w:w="200" w:type="dxa"/>
            <w:vAlign w:val="bottom"/>
          </w:tcPr>
          <w:p>
            <w:pPr>
              <w:spacing w:after="0"/>
              <w:rPr>
                <w:sz w:val="18"/>
                <w:szCs w:val="18"/>
                <w:color w:val="auto"/>
              </w:rPr>
            </w:pPr>
          </w:p>
        </w:tc>
        <w:tc>
          <w:tcPr>
            <w:tcW w:w="20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40,332,757</w:t>
            </w:r>
          </w:p>
        </w:tc>
      </w:tr>
      <w:tr>
        <w:trPr>
          <w:trHeight w:val="20"/>
        </w:trPr>
        <w:tc>
          <w:tcPr>
            <w:tcW w:w="3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right"/>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798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8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w w:val="99"/>
              </w:rPr>
              <w:t>Years Ended December 31, 2017 and 2016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79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(43,758,975)</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(19,515,151)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2,692,301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469,576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10,144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1,561,659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1,250,074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Asset impairment charge</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845,389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781,567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676,943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1,021,217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Amortization of license revenue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(142,834)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(2,862,127)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589,318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(941,272)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(482,894)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2,812,066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476,826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614,483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416,972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(30,560)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(37,271,774)</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(18,268,973)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Sales of short-term investments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5,390,184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16,657,993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(2,676,328)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Cash acquired in acquisition transaction</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12,500,000</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15,213,856</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904,583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Proceeds from issuance of common stock, net of offering expenses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39,199,850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12,900,541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Payment of end of term fee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Proceeds from issuance of related party note payable</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Proceeds from issuance of note payable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30,000,000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Payments of leasehold improvement loan</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60,750,625</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16,838,298</w:t>
            </w: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420"/>
          </w:cols>
          <w:pgMar w:left="240" w:top="222"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 - end of year, including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38,692,707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(526,092)</w:t>
            </w:r>
          </w:p>
        </w:tc>
      </w:tr>
      <w:tr>
        <w:trPr>
          <w:trHeight w:val="234"/>
        </w:trPr>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9,914,867</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10,440,959</w:t>
            </w:r>
          </w:p>
        </w:tc>
      </w:tr>
      <w:tr>
        <w:trPr>
          <w:trHeight w:val="223"/>
        </w:trPr>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48,607,574</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9,914,867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520" w:space="720"/>
            <w:col w:w="3180"/>
          </w:cols>
          <w:pgMar w:left="240" w:top="222" w:right="2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74" w:name="page75"/>
    <w:bookmarkEnd w:id="74"/>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 AND BUSINESS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ADMA Biologics, Inc. (“ADMA” or the “Company”) is a vertically integrated commercial biopharmaceutical and specialty immunoglobulin company that manufactures, markets and develops specialty plasma-derived biologics for the treatment of immune deficiencies and prevention of certain infectious diseases. The Company’s targeted patient populations include immune-compromised individuals who suffer from an underlying immune deficiency disorder or who may be immune-suppressed for medical reasons. ADMA operates through its wholly-owned subsidiaries ADMA BioManufacturing, LLC (“ADMA BioManufacturing”) and ADMA Bio Centers Georgia Inc. (“ADMA BioCenters”). ADMA BioManufacturing was formed in January 2017 to facilitate the acquisition of the Biotest Therapy Business Unit (“BTBU”) of Biotest Pharmaceuticals Corporation (“BPC” and, together with Biotest AG, “Biotest”) as more fully described below. ADMA BioCenters is the Company’s source plasma collection business, with facilities located in Norcross, GA, Marietta, GA and Kennesaw, GA. Both the Norcross and Marietta, GA facilities have approved licenses with the U.S. Food and Drug Administration (the “FDA”) and certifications from the German Health Authority (the “GHA”) and the Korean Ministry of Food and Drug Safety, and the Company filed a Biologics License Application with the FDA for its Kennesaw, GA facility in December of 2017. ADMA BioCenters supplies ADMA with a portion of its raw material plasma for the manufacture of RI-002, ADMA’s lead pipeline product candidate, which the Company is currently developing for the treatment of Primary Immune Deficiency Disease (“PIDD”).</w:t>
      </w:r>
    </w:p>
    <w:p>
      <w:pPr>
        <w:spacing w:after="0" w:line="19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discussed in Note 3, on June 6, 2017, ADMA completed the acquisition of certain assets (the “Biotest Assets”) of BTBU, which include two FDA-licensed products, Nabi-HB (Hepatitis B Immune Globulin, Human) and Bivigam (Immune Globulin Intravenous, Human), and a plasma fractionation facility located in Boca Raton, FL (the “Boca Facility”) (the “Biotest Transaction”). In addition to Nabi-HB and Bivigam, BTBU also provides contract manufacturing services for certain clients, including the sale of intermediate by-products. The Boca Facility is FDA-licensed and certified by the GHA. Immediately following the closing of the Biotest Transaction, the Biotest Assets were contributed into ADMA BioManufacturing.</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Nabi-HB is a hyperimmune globulin that is rich in antibodies to the hepatitis B virus. Nabi-HB is indicated for the treatment of acute exposure to blood containing hepatitis B surface antigen (“HBsAg”), prenatal exposure to infants born to HBsAg-positive mothers, sexual exposure to HBsAg-positive persons and household exposure to persons with acute Hepatitis B virus infection. FDA approval for Nabi-HB was received on March 24, 1999. ADMA resumed production of Nabi-HB in the third quarter of 2017, as substantially all of the Nabi-HB inventory received as part of the Biotest Transaction has been sold in the normal course of business.</w:t>
      </w:r>
    </w:p>
    <w:p>
      <w:pPr>
        <w:spacing w:after="0" w:line="184"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Bivigam is indicated for the treatment of primary humoral immunodeficiency. FDA approval for Bivigam was received on December 19, 2012, and sales commenced in the first quarter of 2013. In December 2016, Biotest temporarily suspended the commercial production of Bivigam in order to focus on the completion of planned improvements to the manufacturing process. ADMA resumed production of Bivigam late in the fourth quarter of 2017. The Bivigam inventory currently being produced will be used in conjunction with a Prior Approval Supplement (the “PAS”), which is expected to be filed with the FDA during the first half of 2018. Upon approval of the PAS, the Company intends to relaunch Bivigam, and, pending FDA approval, this relaunch is expected to take place in the second half of 2018.</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Concurrent with the closing of the Biotest Transaction, the Company received $27.5 million in cash from Biotest, comprised of $12.5 million in cash from BPC and a $15.0 million loan from Biotest evidenced by a 6% subordinated note payable to BPC with a maturity of 5 years (see Note 7). In addition, BPC committed to participate in any future equity offering or private placement undertaken by the Company in an amount equal to up to $12.5 million on a pro-rata basis. The entire $12.5 million commitment was invested in the follow-on public offering of the Company’s common stock, which closed on November 13, 2017 (see Note 8).</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5" w:name="page76"/>
    <w:bookmarkEnd w:id="75"/>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Prior to the closing of the Biotest Transaction, BTBU was the Company’s third-party manufacturer for RI-002. In the third quarter of 2015, the FDA accepted for review the Company’s Biologics License Application for RI-002 (the “BLA”) for the treatment of PIDD. In July 2016, the FDA issued a Complete Response Letter (the “CRL”) to the Company for the BLA. Although the CRL did not cite any concerns with the clinical safety or efficacy data for RI-002 submitted in the BLA, nor did the FDA request any additional clinical studies be completed prior to FDA approval of RI-002, the CRL reaffirmed the issues set forth in the November 2014 warning letter (the “Warning Letter”) that had been issued by the FDA to Biotest related to certain compliance issues identified at the Boca Facility, and also identified certain outstanding inspection issues and deficiencies at the Boca Facility and certain of the Company’s third-party vendors, and requested documentation of corrections for a number of these issues. The FDA indicated in the CRL that it cannot grant final approval of the BLA until, among other things, these deficiencies are resolved. Following the completion of the Biotest Transaction, ADMA now has control over the regulatory, quality, general operations and drug substance manufacturing process at the Boca Facility, and the Company’s highest priority has been the remediation of the outstanding compliance issues that were identified at the Boca Facility in the Warning Letter. The Company has been working with a consulting firm consisting of quality management systems and biologics production subject matter experts in preparation for a re-inspection by the FDA in order to improve the FDA inspection classification relative to the Warning Letter compliance issues as indicated in the CRL, and the Company believes it has been inspection-ready since the end of 2017. The Company expects a re-inspection of the Boca Facility by the FDA to take place during the first half of 2018. Once the Warning Letter status is improved following the FDA inspection, the Company anticipates that it will be in a position to refile the BLA for RI-002 in the second half of 2018.</w:t>
      </w:r>
    </w:p>
    <w:p>
      <w:pPr>
        <w:spacing w:after="0" w:line="19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2017, the Company had working capital of $53.7 million, including $43.1 million of cash and cash equivalents. Based upon the Company’s current projected revenue and expenditures for 2018, including regulatory and consulting fees for the remediation of the Warning Letter and ongoing discussions with the FDA, continued implementation of the Company’s commercialization and expansion activities and certain other assumptions, the Company’s management currently believes that its cash, cash equivalents, projected revenue and accounts receivable, along with the $10.0 million it expects to be able to draw down under its senior credit facility (see Note 7), will be sufficient to fund ADMA’s operations, as currently conducted, through the end of 2018. In order to have sufficient cash to fund its operations thereafter and to continue as a going concern, the Company will need to raise additional capital prior to the end of 2018. These estimates may change based upon how quickly the Company is able to execute on its quality management systems’ remediation plans for the ADMA BioManufacturing operations, commercial manufacturing ramp-up activities and the various financing options being explored. The Company currently has no firm commitments for additional financing, and there can be no assurances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19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Due to numerous risks and uncertainties associated with ongoing remediation efforts, the research and development and potential future commercialization of its products and product candidates, the Company is unable to estimate with certainty the amounts of increased capital outlays and operating expenditures associated with its development activities. The Company’s current estimates may be subject to change as circumstances regarding its business requirements evolve. The Company may decide to raise capital through public or private equity offerings or debt financings, or obtain a bank credit facility or corporate collaboration and licensing arrangements. The sale of additional equity or debt securities, if convertible, could result in dilution to the Company’s stockholders and, in such event, the value and potential future market price of its common stock may decline. The incurrence of indebtedness would result in increased fixed obligations and could also result in covenants that would restrict the Company’s operations or other financing alternatives. Failure to secure any necessary financing in a timely manner and on commercially reasonable terms could have a material adverse effect on the Company’s business plan and financial performance and it could be forced to delay or discontinue its product development, clinical trial or commercialization activities, delay or discontinue the approval efforts for any of the Company’s potential products or potentially cease operations. The Company has reported losses since inception in June 2004 through December 31, 2017 of $150.7 million. Management believes that the Company will continue to incur net losses and negative net cash flows from operating activities to fund its research and development, commercial programs and meet its obligations on a timely basis through the foreseeable future. As such, these factors raise substantial doubt about the Company’s ability to continue as a going concern. The accompanying consolidated financial statements do not include any adjustments related to the recoverability and classification of asset carrying amounts and the classification of liabilities that might be necessary from the outcome of this uncertainty.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6" w:name="page77"/>
    <w:bookmarkEnd w:id="76"/>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 and Basis of presentation</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ADMA and its wholly-owned subsidiaries, and have been prepared in conformity with accounting principles generally accepted in the United States of America (“U.S. GAAP”) and in accordance with Article 8 of Regulation S-X of the Securities and Exchange Commission (the “SEC”). All intercompany balances have been eliminated in consolidation. Any reference in these notes to applicable guidance is meant to refer to U.S. GAAP as found in the Accounting Standards Codification (“ASC”) and Accounting Standards Updates (“ASU”) of the Financial Accounting Standards Board (the “FASB”).</w:t>
      </w:r>
    </w:p>
    <w:p>
      <w:pPr>
        <w:spacing w:after="0" w:line="184"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During the years ended December 31, 2017 and 2016, comprehensive loss was equal to the net loss amounts presented for the respective periods in the accompanying consolidated statements of operations. In addition, certain prior year balances have been reclassified to conform to the current presentation. Specifically, the current and non-current portions of the Company’s tenant allowance liability and leasehold improvement loan have been reclassified to other current liabilities and other non-current liabilities, respectively, in the accompanying consolidated balance sheet as of December 31, 2016.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fair value of assets acquired and liabilities assumed in a business combination, valuation of inventory, assumptions used in the fair value determination of stock-based compensation, warrants, and the allowance for the valuation of future tax benefits.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highly-liquid instruments purchased with a maturity of three months or less to be cash equivalents. From time to time, the Company purchases certificates of deposit with maturity schedules of three, six, nine and twelve months. Instruments with original maturities greater than three months but less than twelve months are included in short-term investments.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regularly maintains cash and short-term investments at third-party financial institutions in excess of the Federal Deposit Insurance Corporation, or FDIC, insurance limit. While the Company monitors the daily cash balances in the operating accounts and adjusts the balances as appropriate, these balances could be impacted, and there could be a material adverse effect on the Company’s business, if one or more of the financial institutions with which the Company has deposits fails or is subject to other adverse conditions in the financial or credit markets. To date, the Company has not experienced a loss or lack of access to its invested cash or cash equivalents; however, the Company cannot provide assurance that access to its invested cash and cash equivalents will not be impacted by adverse conditions in the financial and credit markets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cash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cash consists of cash held in a reserve account as required by the terms of the Company’s senior lending agreement (see Note 7).</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7" w:name="page78"/>
    <w:bookmarkEnd w:id="77"/>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are reported at realizable value, net of allowances for contractual credits and doubtful accounts, which are recognized in the period the related revenue is recorded.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Inventories, including plasma intended for resale and plasma intended for internal use in the Company's research and development and future anticipated commercialization activities, are carried at the lower of cost or market value determined by the first-in, first-out method. Research and development plasma used in clinical trials is processed to a finished product and subsequently expensed to research and development. Although the Company expects that Bivigam inventory will ultimately be available for commercial sale, due to uncertainties surrounding the Warning Letter and the PAS related to improvements in the manufacturing process that must be filed with and approved by the FDA prior to this inventory being available for commercial sale, all costs related to the production of Bivigam during the year ended December 31, 2017 have been charged to cost of product revenue in the accompanying consolidated statement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Assets comprising property and equipment (see Note 5) are stated at cost less accumulated depreciation. Depreciation is calculated using the straight-line method over the asset’s estimated useful life. Land is not depreciated. The buildings have been assigned a useful life of 30 years. Property and equipment other than land and buildings have useful lives ranging from 3 to 10 years. Leasehold improvements are amortized over the lesser of the lease term or their estimated useful lives.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by the Company. Goodwill at December 31, 2017 and December 31, 2016 was $3.5 million and $0, respectively. All of the Company’s goodwill is attributable to its ADMA BioManufacturing business segment. The following table presents the changes in the carrying amount of goodwill during the year ended December 31, 2017:</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2017</w:t>
            </w:r>
          </w:p>
        </w:tc>
        <w:tc>
          <w:tcPr>
            <w:tcW w:w="2380" w:type="dxa"/>
            <w:vAlign w:val="bottom"/>
            <w:gridSpan w:val="2"/>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Goodwill recorded in connection with the acquistion of the Biotest Assets</w:t>
            </w:r>
          </w:p>
        </w:tc>
        <w:tc>
          <w:tcPr>
            <w:tcW w:w="19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3,529,509</w:t>
            </w:r>
          </w:p>
        </w:tc>
      </w:tr>
      <w:tr>
        <w:trPr>
          <w:trHeight w:val="22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19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3,529,509</w:t>
            </w:r>
          </w:p>
        </w:tc>
      </w:tr>
      <w:tr>
        <w:trPr>
          <w:trHeight w:val="20"/>
        </w:trPr>
        <w:tc>
          <w:tcPr>
            <w:tcW w:w="7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The impairment loss recognized would not exceed the total amount of goodwill allocated to that reporting unit. The Company’s impairment analysis as of October 1, 2017 did not result in any impairment charges related to goodwill for the year ending December 31, 2017.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2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Company assesses the recoverability of its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value is recoverable. Any resulting impairment is recorded as a reduction in the carrying value of the related asset in excess of fair value and a charge to operating results. For the year ended December 31, 2017, the Company recorded an impairment charge in the amount of $0.8 million related to assets acquired in the Biotest Transaction. For the year ended December 31, 2016, the Company determined that there was no impairment of its long-lived assets.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8" w:name="page79"/>
    <w:bookmarkEnd w:id="78"/>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Revenues for the year ended December 31, 2017 are comprised of (i) revenues from Nabi-HB, (ii) product revenues from the sale of human plasma collected from the Company’s plasma collection centers segment, (iii) revenues related to a contract manufacturing agreement (see Note 6); and (iv) license and other revenues primarily attributable to the out-licensing of RI-002 to Biotest to market and sell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recognized over the term of the Biotest license. Deferred revenue is amortized into income for a period of approximately 22 years, the term of the Biotest license agreement.</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Revenue from the sale of Nabi-HB is recognized when the product reaches the customer’s destination. Nabi-HB revenue is recorded net of estimated customer prompt pay discounts and contractual allowances in accordance with managed care agreements, including wholesaler chargebacks, rebates, customer returns and other wholesaler fees. These estimates are based on historical experience, and the Company believes that such estimates are reasonable. For sales of intermediates, title typically transfers when the product is delivered to a third party warehouse. With all other contract manufacturing, the title transfers to the customer when they take possession of the product from the Boca Facility. As the Company maintains a significant risk of loss throughout the contract manufacturing process, contract manufacturing revenue is not recognized until the product is released and title transfers to the customer.</w:t>
      </w:r>
    </w:p>
    <w:p>
      <w:pPr>
        <w:spacing w:after="0" w:line="18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Product revenues from the sale of human plasma collected at the Company’s plasma collection centers are recognized at the time of transfer of title and risk of loss to the customer, which generally occurs at the time of shipment. Product revenues are recognized at the time of delivery if the Company retains the risk of loss during shipment.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product revenue</w:t>
      </w:r>
    </w:p>
    <w:p>
      <w:pPr>
        <w:spacing w:after="0" w:line="22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Expenses associated with remediating the issues identified in the Warning Letter for the year ended December 31, 2017 of approximately $3.8 million are expensed as incurred and are reflected in cost of product revenue in the accompanying consolidated statements of operations. In addition, for the year ended December 31, 2017, all operating expenses associated with the Boca Facility, other than the limited Nabi-HB production that was capitalized into inventory, have been expensed as incurred since the date of the Biotest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clinical research organization costs, costs related to clinical trials, consulting expenses related to regulatory and medical affairs, quality assurance and control, assay development, ongoing testing costs, drug product manufacturing for RI-002, including the cost of plasma, plasma storage and transportation costs, as well as wages, benefits and stock-based compensation for employees directly related to the research and development activities All research and development costs are expensed as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and marketing expenses</w:t>
      </w:r>
    </w:p>
    <w:p>
      <w:pPr>
        <w:spacing w:after="0" w:line="225" w:lineRule="exact"/>
        <w:rPr>
          <w:sz w:val="20"/>
          <w:szCs w:val="20"/>
          <w:color w:val="auto"/>
        </w:rPr>
      </w:pPr>
    </w:p>
    <w:p>
      <w:pPr>
        <w:ind w:right="240" w:firstLine="648"/>
        <w:spacing w:after="0" w:line="313" w:lineRule="auto"/>
        <w:rPr>
          <w:sz w:val="20"/>
          <w:szCs w:val="20"/>
          <w:color w:val="auto"/>
        </w:rPr>
      </w:pPr>
      <w:r>
        <w:rPr>
          <w:rFonts w:ascii="Times New Roman" w:cs="Times New Roman" w:eastAsia="Times New Roman" w:hAnsi="Times New Roman"/>
          <w:sz w:val="17"/>
          <w:szCs w:val="17"/>
          <w:color w:val="auto"/>
        </w:rPr>
        <w:t>Advertising and marketing expense includes cost for promotional materials and trade show expenses for the marketing of the Company’s products and services. Advertising and marketing expenses were $0.6 million and $0.2 million for the years ended December 31, 2017 and 2016,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follows recognized accounting guidance which requires all stock-based payments, including grants of stock options, to be recognized in the statement of operations as compensation expense, based on their fair values on the grant date. Compensation expense related to awards to employees and directors with service-based vesting conditions is recognized on a straight-line basis based on the grant date fair value over the associated vesting period of the award, which is generally four years.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9" w:name="page80"/>
    <w:bookmarkEnd w:id="79"/>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grant date fair values of stock options awarded during the years ended December 31, 2017 and 2016 were determined using the Black-Scholes option-pricing model with the following assumptions: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860" w:type="dxa"/>
            <w:vAlign w:val="bottom"/>
          </w:tcPr>
          <w:p>
            <w:pPr>
              <w:spacing w:after="0"/>
              <w:rPr>
                <w:sz w:val="20"/>
                <w:szCs w:val="20"/>
                <w:color w:val="auto"/>
              </w:rPr>
            </w:pP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2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0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5.8-6.3 years</w:t>
            </w:r>
          </w:p>
        </w:tc>
        <w:tc>
          <w:tcPr>
            <w:tcW w:w="2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5.8-6.3 years</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2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1.77-2.29%</w:t>
            </w:r>
          </w:p>
        </w:tc>
        <w:tc>
          <w:tcPr>
            <w:tcW w:w="220" w:type="dxa"/>
            <w:vAlign w:val="bottom"/>
          </w:tcPr>
          <w:p>
            <w:pPr>
              <w:spacing w:after="0"/>
              <w:rPr>
                <w:sz w:val="20"/>
                <w:szCs w:val="20"/>
                <w:color w:val="auto"/>
              </w:rPr>
            </w:pPr>
          </w:p>
        </w:tc>
        <w:tc>
          <w:tcPr>
            <w:tcW w:w="2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1.54-1.79%</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basis of assets and liabilities and their respective financial reporting amounts at enacted tax rates in effect for the years in which the temporary differences are expected to reverse. The Company records a valuation allowance on its deferred income tax assets if it is more likely than not that these deferred income tax assets will not be realized.</w:t>
      </w:r>
    </w:p>
    <w:p>
      <w:pPr>
        <w:spacing w:after="0" w:line="18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December 31, 2017 and 2016. The Company is subject to income tax examinations by major taxing authorities for all tax years since 2013 and for previous periods as it relates to the Company’s net operating loss carryforward.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(Loss) Per Share</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common stockholders by the weighted average number of shares of common stock outstanding during the period. For purposes of computing basic and diluted loss per share, the non-voting class of common stock (see Notes 3 and 8) is included in the common stock outstanding as the characteristics of the non-voting class are substantially the same as the voting class of common stock.</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Diluted net loss per share is calculated by dividing net loss attributable to common stockholders as adjusted for the effect of dilutive securities, if any, by the weighted average number of shares of common stock, including the non-voting class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in the diluted net loss per share computation is excluded to the extent that it would be anti-dilutive. No potentially dilutive securities are included in the computation of any diluted per share amounts as the Company reported a net loss for all periods presented. For the years ended December 31, 2017 and 2016, the following securities were excluded from the calculation of diluted loss per common share because of their anti-dilutive effects: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1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23"/>
        </w:trPr>
        <w:tc>
          <w:tcPr>
            <w:tcW w:w="82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1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3,276,043</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1,535,187</w:t>
            </w:r>
          </w:p>
        </w:tc>
      </w:tr>
      <w:tr>
        <w:trPr>
          <w:trHeight w:val="230"/>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528,160</w:t>
            </w:r>
          </w:p>
        </w:tc>
        <w:tc>
          <w:tcPr>
            <w:tcW w:w="2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300,446</w:t>
            </w:r>
          </w:p>
        </w:tc>
      </w:tr>
      <w:tr>
        <w:trPr>
          <w:trHeight w:val="223"/>
        </w:trPr>
        <w:tc>
          <w:tcPr>
            <w:tcW w:w="82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3,804,203</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1,835,633</w:t>
            </w:r>
          </w:p>
        </w:tc>
      </w:tr>
      <w:tr>
        <w:trPr>
          <w:trHeight w:val="20"/>
        </w:trPr>
        <w:tc>
          <w:tcPr>
            <w:tcW w:w="8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0" w:name="page81"/>
    <w:bookmarkEnd w:id="80"/>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223"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using the acquisition method of accounting in accordance with FASB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Identifiable assets acquired, liabilities assumed, and contingent consideration are recorded at their acquisition date fair values. Any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the acquisition-related contingent consideration subsequent to the acquisition date, including changes from events after the acquisition date, will be recognized in the period of the estimated fair value change. Goodwill represents the excess of the purchase price over the fair value of identifiable assets acquired and liabilities assumed as a result of the business combination. Identifiable assets with finite lives are amortized over their useful lives. Acquisition related costs are expensed as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including cash and cash equivalents, short-term investments, accounts payable, and notes payable are shown at cost, which approximates fair value due to the short-term nature of these instruments. The debt outstanding under the Company’s senior notes payable (see Note 7) approximates fair value due to the variable interest rate on this debt. With respect to the related party note payable in the amount of $15.0 million as of December 31, 2017 (see Notes 3 and 7), which is held by a principal stockholder of the Company and was issued concurrent with an acquisition transaction with such stockholder, the Company has concluded that an estimation of fair value for this note is not practicable.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May 2017, the FASB issued ASU No. 2017-09, </w:t>
      </w:r>
      <w:r>
        <w:rPr>
          <w:rFonts w:ascii="Times New Roman" w:cs="Times New Roman" w:eastAsia="Times New Roman" w:hAnsi="Times New Roman"/>
          <w:sz w:val="18"/>
          <w:szCs w:val="18"/>
          <w:i w:val="1"/>
          <w:iCs w:val="1"/>
          <w:color w:val="auto"/>
        </w:rPr>
        <w:t>Modification Accounting for Share-Based Payment Arrangements</w:t>
      </w:r>
      <w:r>
        <w:rPr>
          <w:rFonts w:ascii="Times New Roman" w:cs="Times New Roman" w:eastAsia="Times New Roman" w:hAnsi="Times New Roman"/>
          <w:sz w:val="18"/>
          <w:szCs w:val="18"/>
          <w:color w:val="auto"/>
        </w:rPr>
        <w:t>,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Early adoption is permitted, including adoption in any interim period. The Company does not expect this new guidance to have a material impact on its consolidated financial statements.</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2017-01, </w:t>
      </w:r>
      <w:r>
        <w:rPr>
          <w:rFonts w:ascii="Times New Roman" w:cs="Times New Roman" w:eastAsia="Times New Roman" w:hAnsi="Times New Roman"/>
          <w:sz w:val="18"/>
          <w:szCs w:val="18"/>
          <w:i w:val="1"/>
          <w:iCs w:val="1"/>
          <w:color w:val="auto"/>
        </w:rPr>
        <w:t>Business Combinations – Clarifying the Definition of a Business</w:t>
      </w:r>
      <w:r>
        <w:rPr>
          <w:rFonts w:ascii="Times New Roman" w:cs="Times New Roman" w:eastAsia="Times New Roman" w:hAnsi="Times New Roman"/>
          <w:sz w:val="18"/>
          <w:szCs w:val="18"/>
          <w:color w:val="auto"/>
        </w:rPr>
        <w:t>, which clarifies the definition of a business to assist entities with evaluating whether transactions should be accounted for as acquisitions or disposals of assets or businesses. The standard introduces a screen for determining when assets acquired are not a business and clarifies that a business must include, at a minimum, an input and a substantive process that contribute to an output to be considered a business. This standard is effective for fiscal years beginning after December 15, 2017, including interim periods within that reporting period. The Company adopted this standard in the second quarter of 2017, and the adoption of this standard did not have a material impact on its consolidated financial statements as of and for the year ended December 31, 2017.</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(Topic 350)</w:t>
      </w:r>
      <w:r>
        <w:rPr>
          <w:rFonts w:ascii="Times New Roman" w:cs="Times New Roman" w:eastAsia="Times New Roman" w:hAnsi="Times New Roman"/>
          <w:sz w:val="18"/>
          <w:szCs w:val="18"/>
          <w:color w:val="auto"/>
        </w:rPr>
        <w:t>, which removes the requirement to compare the implied fair value of goodwill with its carrying amount as part of step 2 of the goodwill impairment test. As a result, under the ASU,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The ASU is effective prospectively for fiscal years beginning after December 15, 2019. Early adoption is permitted for interim or annual goodwill impairment tests performed on testing dates after January 1, 2017. The Company adopted ASU 2017-04 in the fourth quarter of 2017, and adoption of this update did not have a material impact on its consolidated financial statements as of and for the year ended December 31, 2017.</w:t>
      </w:r>
    </w:p>
    <w:p>
      <w:pPr>
        <w:spacing w:after="0" w:line="18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which clarifies guidance and presentation related to restricted cash in the statement of cash flows, including stating that restricted cash should be included within cash and cash equivalents in the statement of cash flows. The standard is effective for fiscal years beginning after December 15, 2017, with early adoption permitted, and is to be applied retrospectively. The Company adopted this standard in the fourth quarter of 2017, and adoption of this update did not have a material impact on the Company’s consolidated financial statements as of and for the years ended December 31, 2017 and 2016.</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1" w:name="page82"/>
    <w:bookmarkEnd w:id="81"/>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4"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Improvements to Employee Share-Based Payment Accounting (Topic 718)</w:t>
      </w:r>
      <w:r>
        <w:rPr>
          <w:rFonts w:ascii="Times New Roman" w:cs="Times New Roman" w:eastAsia="Times New Roman" w:hAnsi="Times New Roman"/>
          <w:sz w:val="18"/>
          <w:szCs w:val="18"/>
          <w:color w:val="auto"/>
        </w:rPr>
        <w:t>, which provides for simplification of certain aspects of employee share-based payment accounting including income taxes, classification of awards as either equity or liabilities, accounting for forfeitures (see Note 8) and classification on the statement of cash flows. The Company adopted this standard in the first quarter of 2017, and the adoption of this standard did not have a material impact on its consolidated financial statements as of and for the year ended December 31, 2017.</w:t>
      </w:r>
    </w:p>
    <w:p>
      <w:pPr>
        <w:spacing w:after="0" w:line="180"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lessees to recognize assets and liabilities for the rights and obligations created by most leases on their balance sheet. The guidance is effective for fiscal years beginning after December 15, 2018, including interim periods within those fiscal years. Early application is permitted. ASU 2016-02 requires modified retrospective adoption for all leases existing at, or entered into after, the date of initial application, with an option to use certain transition relief. The Company is currently evaluating the impact the standard may have on its consolidated financial statements and related disclosures.</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Income Taxes (Topic 740), Balance Sheet Classification of Deferred Taxes</w:t>
      </w:r>
      <w:r>
        <w:rPr>
          <w:rFonts w:ascii="Times New Roman" w:cs="Times New Roman" w:eastAsia="Times New Roman" w:hAnsi="Times New Roman"/>
          <w:sz w:val="18"/>
          <w:szCs w:val="18"/>
          <w:color w:val="auto"/>
        </w:rPr>
        <w:t>, which includes amendments that require deferred tax liabilities and assets be classified as non-current in a classified statement of financial position. The amendments in this ASU are effective for financial statements issued for annual periods beginning after December 15, 2017, and interim periods within annual periods beginning after December 15, 2018. Earlier application is permitted as of the beginning of an interim or annual reporting period. The amendments may be applied either prospectively to all deferred tax liabilities and assets or retrospectively to all periods presented. The Company adopted this standard in the second quarter of 2017. As the Company carried a full valuation allowance against its deferred tax assets as of December 31, 2017 and 2016, adoption of this standard did not have a material impact on its consolidated financial statements.</w:t>
      </w:r>
    </w:p>
    <w:p>
      <w:pPr>
        <w:spacing w:after="0" w:line="18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September 2015, the FASB issued ASU No. 2015-16, </w:t>
      </w:r>
      <w:r>
        <w:rPr>
          <w:rFonts w:ascii="Times New Roman" w:cs="Times New Roman" w:eastAsia="Times New Roman" w:hAnsi="Times New Roman"/>
          <w:sz w:val="18"/>
          <w:szCs w:val="18"/>
          <w:i w:val="1"/>
          <w:iCs w:val="1"/>
          <w:color w:val="auto"/>
        </w:rPr>
        <w:t>Business Combinations (Topic 805), Simplifying the Accounting for Measurement-Period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which includes amendments that require an acquirer to recognize adjustments to provisional amounts that are identified during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the reporting period in which the adjustment amounts are determined. The amendments in this ASU require that the acquirer record, in the same period’s financial statements, the effect on earnings of changes in depreciation, amortization, or other income effects, if any, as a result of the changes to the provisional amounts, calculated as if the accounting had been completed at the acquisition date. The amendments in this ASU require an entity to present separately on the face of the income statement or disclose in the notes the portion of the amount recorded in current period earnings by line item that would have been recorded in previous reporting periods if the adjustment to the provisional amounts had been recognized as of the acquisition date. The amendments in this ASU are effective for fiscal years beginning after December 15, 2016, and interim periods within fiscal years beginning after December 15, 2017. The amendments should be applied prospectively to adjustments to provisional amounts that occur after the effective date of the ASU with earlier application permitted for financial statements that have not yet been made available for issuance. The Company adopted this standard in the first quarter of 2017, and the adoption of this standard did not have a material impact on its consolidated financial statements as of and for the year ended December 31, 2017.</w:t>
      </w:r>
    </w:p>
    <w:p>
      <w:pPr>
        <w:spacing w:after="0" w:line="191" w:lineRule="exact"/>
        <w:rPr>
          <w:sz w:val="20"/>
          <w:szCs w:val="20"/>
          <w:color w:val="auto"/>
        </w:rPr>
      </w:pPr>
    </w:p>
    <w:p>
      <w:pPr>
        <w:ind w:right="2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July 2015, the FASB issued ASU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The standard requires entities to measure most inventory “at the lower of cost and net realizable value,” thereby simplifying the current guidance under which an entity must measure inventory at the lower of cost or market (market in this context is defined as one of three different measures, one of which is net realizable value). The Company adopted this standard in the first quarter of 2017, and the adoption of this standard did not have a material impact on the Company’s consolidated financial statements as and for the year ended December 31, 2017.</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2" w:name="page83"/>
    <w:bookmarkEnd w:id="82"/>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new guidance related to revenue recognition, </w:t>
      </w:r>
      <w:r>
        <w:rPr>
          <w:rFonts w:ascii="Times New Roman" w:cs="Times New Roman" w:eastAsia="Times New Roman" w:hAnsi="Times New Roman"/>
          <w:sz w:val="18"/>
          <w:szCs w:val="18"/>
          <w:i w:val="1"/>
          <w:iCs w:val="1"/>
          <w:color w:val="auto"/>
        </w:rPr>
        <w:t>ASU 2014-09, Revenue from Contracts with Customers (“ASC 606”)</w:t>
      </w:r>
      <w:r>
        <w:rPr>
          <w:rFonts w:ascii="Times New Roman" w:cs="Times New Roman" w:eastAsia="Times New Roman" w:hAnsi="Times New Roman"/>
          <w:sz w:val="18"/>
          <w:szCs w:val="18"/>
          <w:color w:val="auto"/>
        </w:rPr>
        <w:t>, which outlines a comprehensive revenue recognition model and supersedes most current revenue recognition guidance. The new guidance requires a company to recognize revenue upon transfer of goods or services to a customer at an amount that reflects the expected consideration to be received in exchange for those goods or services. ASC 606 defines a five-step approach for recognizing revenue, which may require a company to use more judgment and make more estimates than under the current guidance. The new guidance becomes effective in calendar year 2018 and early adoption in calendar year 2017 is permitted. Two methods of adoption are permitted: (a) full retrospective adoption, meaning the standard is applied to all periods presented; or (b) modified retrospective adoption, meaning the cumulative effect of applying the new guidance is recognized at the date of initial application as an adjustment to the opening retained earnings balance.</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2016, April 2016 and December 2016, the FASB issued ASU No. 2016-08, </w:t>
      </w:r>
      <w:r>
        <w:rPr>
          <w:rFonts w:ascii="Times New Roman" w:cs="Times New Roman" w:eastAsia="Times New Roman" w:hAnsi="Times New Roman"/>
          <w:sz w:val="18"/>
          <w:szCs w:val="18"/>
          <w:i w:val="1"/>
          <w:iCs w:val="1"/>
          <w:color w:val="auto"/>
        </w:rPr>
        <w:t>Revenue From Contracts with Customers (ASC 606):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Versus Agent Considerations</w:t>
      </w:r>
      <w:r>
        <w:rPr>
          <w:rFonts w:ascii="Times New Roman" w:cs="Times New Roman" w:eastAsia="Times New Roman" w:hAnsi="Times New Roman"/>
          <w:sz w:val="18"/>
          <w:szCs w:val="18"/>
          <w:color w:val="auto"/>
        </w:rPr>
        <w:t>, ASU No. 2016-10,</w:t>
      </w:r>
      <w:r>
        <w:rPr>
          <w:rFonts w:ascii="Times New Roman" w:cs="Times New Roman" w:eastAsia="Times New Roman" w:hAnsi="Times New Roman"/>
          <w:sz w:val="18"/>
          <w:szCs w:val="18"/>
          <w:i w:val="1"/>
          <w:iCs w:val="1"/>
          <w:color w:val="auto"/>
        </w:rPr>
        <w:t xml:space="preserve"> Revenue From Contracts with Customers (ASC 606): Identifying Performance Obligations and Licensing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ASU No. 2016-20, </w:t>
      </w:r>
      <w:r>
        <w:rPr>
          <w:rFonts w:ascii="Times New Roman" w:cs="Times New Roman" w:eastAsia="Times New Roman" w:hAnsi="Times New Roman"/>
          <w:sz w:val="18"/>
          <w:szCs w:val="18"/>
          <w:i w:val="1"/>
          <w:iCs w:val="1"/>
          <w:color w:val="auto"/>
        </w:rPr>
        <w:t>Technical Corrections and Improvements to Topic 606, Revenue From Contracts with Customers</w:t>
      </w:r>
      <w:r>
        <w:rPr>
          <w:rFonts w:ascii="Times New Roman" w:cs="Times New Roman" w:eastAsia="Times New Roman" w:hAnsi="Times New Roman"/>
          <w:sz w:val="18"/>
          <w:szCs w:val="18"/>
          <w:color w:val="auto"/>
        </w:rPr>
        <w:t xml:space="preserve">, respectively, which further clarify the implementation guidance on principal versus agent considerations contained in ASU No. 2014-09. In May 2016, the FASB issued ASU 2016-12,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narrow-scope improvements and practical expedients which provides clarification on assessing the collectability criterion,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of sales taxes, measurement date for non-cash consideration and completed contracts at transition. These standards became effective for the Company beginning in the first quarter of 2018. Early adoption is permitted.</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ADMA will adopt ASC 606 and the foregoing related updates effective January 1, 2018, using the modified retrospective method of adoption. Based on the Company’s review of the terms and conditions of its existing customer contracts and applying the five discrete criteria required for recognizing revenue as set forth in ASU 2014-09, the Company does not expect the new revenue recognition guidance to have a material impact on its consolidated financial statements.</w:t>
      </w:r>
    </w:p>
    <w:p>
      <w:pPr>
        <w:spacing w:after="0" w:line="176"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June 6, 2017, ADMA completed the acquisition of the Biotest Assets from BPC. As a result of this transaction, the Company acquired Nabi-HB, Bivigam, the Boca Facility and certain other assets of BTBU. The acquisition of the Biotest Assets expands the Company’s product offering with two FDA-approved products and provides direct control over the manufacturing and regulatory processes impacting the Company’s RI-002 product candidate, including remediation of the Warning Letter as well as certain other remediation items affecting the Boca Facility. Pursuant to the acquisition, the Company issued to Biotest 4,295,580 voting shares of its common stock and 8,591,160 shares of non-voting common stock. The Company will also transfer ownership of two of its plasma centers to Biotest on January 1, 2019 as additional consideration.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purchase price was calculated as follows:</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12,886,740 shares of common stock (voting and non-voting) valued at $3.66 per share</w:t>
            </w:r>
          </w:p>
        </w:tc>
        <w:tc>
          <w:tcPr>
            <w:tcW w:w="118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47,165,468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 of two plasma collection centers</w:t>
            </w:r>
          </w:p>
        </w:tc>
        <w:tc>
          <w:tcPr>
            <w:tcW w:w="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12,621,844</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8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59,787,312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3" w:name="page84"/>
    <w:bookmarkEnd w:id="83"/>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purchase consideration to the assets acquired and liabilities assumed based on their estimated fair values: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12,500,000</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8,197,353</w:t>
            </w: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20,000,000</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8,209,800</w:t>
            </w: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845,389</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795,553</w:t>
            </w: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 and other intangible rights to Nabi-HB</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4,100,046</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Right to intermediates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907,421</w:t>
            </w: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contract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1,076,557</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3,529,510</w:t>
            </w:r>
          </w:p>
        </w:tc>
      </w:tr>
      <w:tr>
        <w:trPr>
          <w:trHeight w:val="230"/>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(374,317)</w:t>
            </w:r>
          </w:p>
        </w:tc>
      </w:tr>
      <w:tr>
        <w:trPr>
          <w:trHeight w:val="223"/>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59,787,312</w:t>
            </w:r>
          </w:p>
        </w:tc>
      </w:tr>
      <w:tr>
        <w:trPr>
          <w:trHeight w:val="20"/>
        </w:trPr>
        <w:tc>
          <w:tcPr>
            <w:tcW w:w="9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engaged various third party valuation specialists to determine the fair value of the land and buildings, property and equipment, right to intermediates, customer contract and Nabi-HB intangible assets, as well as the assets held for sale. Goodwill is expected to be deductible for tax purposes.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Assets held for sale reflects certain manufacturing equipment acquired in the transaction that will not be utilized in the manufacture or development of any of the Company’s current products or product candidates, and the Company’s plans as of the date of acquisition was to complete the sale of these assets within one year from the date of the Biotest Transaction. These sales efforts have been unsuccessful and at December 31, 2017, the Company recorded an impairment charge for the full carrying value of these assets in the amount of $0.8 million.</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foregoing transaction, BPC became a principal stockholder and Biotest became a related party of the Company. Therefore, all of the Company’s transactions with Biotest between June 6, 2017 and December 31, 2017, including product and license revenues attributable to Biotest, were related party transactions. The results from BTBU’s operations are included in the Company’s consolidated financial statements from the date of acquisition. The Company incurred a total of approximately $5.8 million in transaction closing costs, which were expensed as incurred as selling, general and administrative expenses in the consolidated statement of operations. For the years ended December 31, 2017 and 2016, transaction closing costs amounted to approximately $3.9 million and $1.9 million, respectively.</w:t>
      </w:r>
    </w:p>
    <w:p>
      <w:pPr>
        <w:spacing w:after="0" w:line="188"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summary presents consolidated information of the Company as if the business combination had occurred on January 1, 2016. The pro forma information is presented for informational purposes only and is not necessarily indicative of the results of operations that would have been achieved had the acquisition been consummated as of that time or that may result in the future.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10"/>
        </w:trPr>
        <w:tc>
          <w:tcPr>
            <w:tcW w:w="8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 reported</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22,760,560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10,661,037</w:t>
            </w:r>
          </w:p>
        </w:tc>
        <w:tc>
          <w:tcPr>
            <w:tcW w:w="0" w:type="dxa"/>
            <w:vAlign w:val="bottom"/>
          </w:tcPr>
          <w:p>
            <w:pPr>
              <w:spacing w:after="0"/>
              <w:rPr>
                <w:sz w:val="1"/>
                <w:szCs w:val="1"/>
                <w:color w:val="auto"/>
              </w:rPr>
            </w:pPr>
          </w:p>
        </w:tc>
      </w:tr>
      <w:tr>
        <w:trPr>
          <w:trHeight w:val="216"/>
        </w:trPr>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Proforma</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41,024,330</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86,706,074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reported</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(43,758,975)</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(19,515,151)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Proforma</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(52,928,428)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(82,982,280)</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 reported</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4"/>
        </w:trPr>
        <w:tc>
          <w:tcPr>
            <w:tcW w:w="8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Proforma</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4" w:name="page85"/>
    <w:bookmarkEnd w:id="84"/>
    <w:p>
      <w:pPr>
        <w:spacing w:after="0" w:line="200" w:lineRule="exact"/>
        <w:rPr>
          <w:sz w:val="20"/>
          <w:szCs w:val="20"/>
          <w:color w:val="auto"/>
        </w:rPr>
      </w:pPr>
    </w:p>
    <w:p>
      <w:pPr>
        <w:spacing w:after="0" w:line="273"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229" w:lineRule="exact"/>
        <w:rPr>
          <w:sz w:val="20"/>
          <w:szCs w:val="20"/>
          <w:color w:val="auto"/>
        </w:rPr>
      </w:pPr>
    </w:p>
    <w:p>
      <w:pPr>
        <w:jc w:val="right"/>
        <w:ind w:right="2500"/>
        <w:spacing w:after="0"/>
        <w:rPr>
          <w:sz w:val="20"/>
          <w:szCs w:val="20"/>
          <w:color w:val="auto"/>
        </w:rPr>
      </w:pPr>
      <w:r>
        <w:rPr>
          <w:rFonts w:ascii="Times New Roman" w:cs="Times New Roman" w:eastAsia="Times New Roman" w:hAnsi="Times New Roman"/>
          <w:sz w:val="18"/>
          <w:szCs w:val="18"/>
          <w:color w:val="auto"/>
        </w:rPr>
        <w:t>The following table provides the components of 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Work-in-progress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inventories</w:t>
      </w:r>
    </w:p>
    <w:p>
      <w:pPr>
        <w:spacing w:after="0" w:line="20" w:lineRule="exact"/>
        <w:rPr>
          <w:sz w:val="20"/>
          <w:szCs w:val="20"/>
          <w:color w:val="auto"/>
        </w:rPr>
      </w:pPr>
      <w:r>
        <w:rPr>
          <w:sz w:val="20"/>
          <w:szCs w:val="20"/>
          <w:color w:val="auto"/>
        </w:rPr>
        <w:br w:type="column"/>
      </w:r>
    </w:p>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407"/>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10,395,433</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5,020,146</w:t>
            </w:r>
          </w:p>
        </w:tc>
      </w:tr>
      <w:tr>
        <w:trPr>
          <w:trHeight w:val="230"/>
        </w:trPr>
        <w:tc>
          <w:tcPr>
            <w:tcW w:w="1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1,265,339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967,409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12,628,181</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5,020,146</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520" w:space="720"/>
            <w:col w:w="3180"/>
          </w:cols>
          <w:pgMar w:left="240" w:top="225" w:right="239" w:bottom="1440" w:gutter="0" w:footer="0" w:header="0"/>
        </w:sect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with cost being determined on the first-in, first-out method. Finished goods inventory as of December 31, 2017 is comprised of Nabi-HB, and was recorded at fair value as part of the purchase price allocation of the Biotest Assets acquired. Raw materials includes plasma and other materials expected to be used in the production of RI-002, as there are alternative uses for these materials. All other activities and materials associated with the production of inventories used in research and development activities are expensed as incurred.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PROPERTY AND EQUIPMENT</w:t>
            </w:r>
          </w:p>
        </w:tc>
        <w:tc>
          <w:tcPr>
            <w:tcW w:w="4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53"/>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Property, plant and equipment at December 31, 2017 and 2016 is summarized as follows:</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46"/>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2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10"/>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laboratory equipment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7,148,405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306,411</w:t>
            </w: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 and computer software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1,086,756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188,277</w:t>
            </w: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1,136,623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1,030,257</w:t>
            </w: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738,093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1,642,903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2,699,104</w:t>
            </w: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4,339,441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3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15,660,559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31,752,780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4,224,049</w:t>
            </w:r>
          </w:p>
        </w:tc>
      </w:tr>
      <w:tr>
        <w:trPr>
          <w:trHeight w:val="230"/>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(1,285,922)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(2,223,265)</w:t>
            </w:r>
          </w:p>
        </w:tc>
      </w:tr>
      <w:tr>
        <w:trPr>
          <w:trHeight w:val="223"/>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30,466,858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2,000,784</w:t>
            </w: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on property and equipment of $1.5 million, which includes $0.4 million of depreciation expense on the plasma assets to be transferred (see Note 3) and $0.5 million for the years ended December 31, 2017 and 2016, respectively.</w:t>
      </w:r>
    </w:p>
    <w:p>
      <w:pPr>
        <w:spacing w:after="0" w:line="158"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at December 31, 2017 and 2016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8"/>
        </w:trPr>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4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c>
          <w:tcPr>
            <w:tcW w:w="260" w:type="dxa"/>
            <w:vAlign w:val="bottom"/>
          </w:tcPr>
          <w:p>
            <w:pPr>
              <w:spacing w:after="0"/>
              <w:rPr>
                <w:sz w:val="20"/>
                <w:szCs w:val="20"/>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Pr>
          <w:p>
            <w:pPr>
              <w:spacing w:after="0"/>
              <w:rPr>
                <w:sz w:val="20"/>
                <w:szCs w:val="20"/>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178"/>
        </w:trPr>
        <w:tc>
          <w:tcPr>
            <w:tcW w:w="24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Trademark and other</w:t>
            </w: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rights related to</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Nabi-HB®</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4,100,046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341,670</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3,758,376</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Right to intermediates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907,421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75,618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831,803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contract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1,076,557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817,386</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259,171</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6,084,024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1,234,674</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4,849,350</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85" w:name="page86"/>
    <w:bookmarkEnd w:id="85"/>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Under the previous contract manufacturing agreement between ADMA and BPC, intermediate by-products derived from the manufacture of RI-002 were property of Biotest. As a result of the Biotest Transaction, ADMA obtained the right to these intermediate products, which are being amortized over a period of 7 years. The intangible rights to Nabi-HB is also being amortized over a period of 7 years.</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customer contract pertains to a contract manufacturing agreement with a third party that the Company assumed upon the consummation of the Biotest Transaction. On December 22, 2017, Company and the customer entered into an amendment to this contract which reduced the number of batches the Company was committed to supply to the customer. In connection with this amendment, the customer agreed to pay the Company an aggregate compensation fee of $7.0 million, which was recognized as other revenue in the accompanying consolidated statement of operations for the year ended December 31, 2017. The remaining required production volume is 13 batches over 2018 and 2019, and the Company recorded additional amortization expense of approximately $0.6 million in connection with the reduced volume. The net unamortized balance of this asset as of December 31, 2017 is being amortized through the end of the contract period.</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related to the Company’s intangible assets for the year ended December 31, 2017 was $1.2 million. Estimated aggregate future aggregate amortization expense for the next five years is expected to be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844,938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844,938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715,352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715,352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715,352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7. NOTES PAYABLE</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Senior Notes Payable</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 summary of outstanding senior notes payable as of December 31, 2017 and 2016 is as follows: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(4,631,542)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(1,567,249)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60" w:type="dxa"/>
            <w:vAlign w:val="bottom"/>
            <w:gridSpan w:val="4"/>
          </w:tcPr>
          <w:p>
            <w:pPr>
              <w:jc w:val="center"/>
              <w:ind w:right="6940"/>
              <w:spacing w:after="0"/>
              <w:rPr>
                <w:sz w:val="20"/>
                <w:szCs w:val="20"/>
                <w:color w:val="auto"/>
              </w:rPr>
            </w:pPr>
            <w:r>
              <w:rPr>
                <w:rFonts w:ascii="Times New Roman" w:cs="Times New Roman" w:eastAsia="Times New Roman" w:hAnsi="Times New Roman"/>
                <w:sz w:val="18"/>
                <w:szCs w:val="18"/>
                <w:color w:val="auto"/>
              </w:rPr>
              <w:t>Current portion</w:t>
            </w:r>
          </w:p>
        </w:tc>
        <w:tc>
          <w:tcPr>
            <w:tcW w:w="32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(6,111,111)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payable</w:t>
            </w: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25,368,458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12,321,640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October 10, 2017 (the “Marathon Closing Date”), the Company entered into a Credit Agreement (the “Credit Agreement”) with Marathon Healthcare Finance Fund, L.P. (“Marathon” or the “Lender”) and Wilmington Trust, National Association, as the administrative agent for the Lender (the “Administrative Agent”). The Credit Agreement provides for a senior secured term loan facility in an aggregate amount of up to $40.0 million (collectively, the “Credit Facility”), comprised of (i) a term loan made on the Marathon Closing Date in the principal amount of $30.0 million evidenced by a secured promissory note (the “Tranche One Note”), and (ii) an additional term loan evidenced by a secured promissory note to be made in the maximum principal amount not to exceed $10.0 million (the “Tranche Two Note” and, together with the Tranche One Note, the “Notes”), which Tranche Two Note availability is subject to the satisfaction of certain conditions, including, but not limited to, those described below. The Notes each have a maturity date of April 10, 2022 (the “Maturity Date”), subject to acceleration pursuant to the Credit Agreement, including upon an Event of Default (as defined in the Credit Agreement).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6" w:name="page87"/>
    <w:bookmarkEnd w:id="86"/>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On the Marathon Closing Date, the Company used approximately $17.0 million of the proceeds from the Tranche One Note to retire and pay in full the Company’s previously existing indebtedness under a Loan and Security Agreement (the “LSA”) with Oxford Finance, LLC (“Oxford”) and all of the obligations thereunder in accordance with the terms of the LSA, as amended, including the end-of-term liability of $1.8 million and prepayment penalties of $0.2 million. The Company also (i) used $5.5 million of the proceeds from the Tranche One Note to pre-fund a debt service reserve account in accordance with the terms of the Credit Agreement, and (ii) paid diligence fees, legal and other expenses associated with the Credit Facility in the amount of approximately $1.5 million. The Company used the remaining $6.0 million of proceeds for the continued remediation of the issues identified in the CRL and the Warning Letter and for general corporate purposes. In connection with the retirement of the Oxford indebtedness, the Company recognized a loss on the extinguishment of debt in the amount of $1.2 million, comprised primarily of the write-off of debt discount related to the LSA.</w:t>
      </w:r>
    </w:p>
    <w:p>
      <w:pPr>
        <w:spacing w:after="0" w:line="18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bear interest at a rate per annum equal to LIBOR plus 9.50% with a 1% LIBOR floor; provided, however, that in the event that the Company achieves sales of not less than $61.7 million for the 2018 calendar year and the Tranche Two Loan has been funded, then the interest rate on the borrowings under the Credit Agreement will decrease to LIBOR plus 7.75% with a 1% LIBOR floor. During an Event of Default under the Credit Agreement, the outstanding amount of indebtedness under the Credit Agreement will bear interest at a rate per annum equal to the interest rate then applicable to the borrowings under the Credit Agreement plus 5% per annum. Quarterly cash interest payments are due the first business day of each March, June, September and December, beginning on December 1, 2017.</w:t>
      </w:r>
    </w:p>
    <w:p>
      <w:pPr>
        <w:spacing w:after="0" w:line="18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will pay Marathon a facility fee in an amount equal to 9.20% of the amount of the Tranche One Note, payment of which is deferred until the Maturity Date pursuant to the terms of the Credit Agreement. Commencing on October 10, 2020, and on the first business day of each month, the Company is required to make principal payments on the Tranche One Note (and Tranche Two Note in the event it shall have been funded) in equal monthly installments over 18 months, subject to certain conditions in the Credit Agreement. The outstanding principal amount of the Notes, together with all accrued interest thereon, is due on the Maturity Date.</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consideration for the Credit Agreement, the Company issued a warrant to purchase an aggregate of 339,301 shares of the Company’s common stock to the Lender and certain of its affiliates (the “Tranche One Warrants”). The Tranche One Warrants, which the Company valued at $0.6 million, have (i) an exercise price equal to $3.0946, which was the trailing 10-day volume weighted-average price of the Company’s common stock prior to the Marathon Closing Date, and (ii) an expiration date of October 10, 2024. The Company issued the Tranche One Warrants in reliance upon an exemption from registration contained in Section 4(2) under the Securities Act of 1933, as amended (the “Securities Act”). The Tranche One Warrants and the shares of common stock issuable thereunder may not be offered, sold, pledged or otherwise transferred in the U.S. absent registration or an applicable exemption from the registration requirements under the Securities Act.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diligence fees, legal and other expenses associated with the Credit Facility, the Tranche One Warrants and the facility fee,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recognized a discount on the Tranche One Note on the Marathon Closing Date in the amount of $4.8 million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fee</w:t>
            </w:r>
          </w:p>
        </w:tc>
        <w:tc>
          <w:tcPr>
            <w:tcW w:w="3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2,760,000</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1,475,330</w:t>
            </w:r>
          </w:p>
        </w:tc>
      </w:tr>
      <w:tr>
        <w:trPr>
          <w:trHeight w:val="230"/>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One Warrants</w:t>
            </w: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614,513</w:t>
            </w:r>
          </w:p>
        </w:tc>
      </w:tr>
      <w:tr>
        <w:trPr>
          <w:trHeight w:val="223"/>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Total debt discount at Marathon Closing Date</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4,849,843</w:t>
            </w:r>
          </w:p>
        </w:tc>
      </w:tr>
      <w:tr>
        <w:trPr>
          <w:trHeight w:val="20"/>
        </w:trPr>
        <w:tc>
          <w:tcPr>
            <w:tcW w:w="9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obligation of Marathon to purchase the Tranche Two Note is subject to the satisfaction of certain conditions related to FDA approval for specified products and the Company’s financial condition, including, without limitation, the following: (a) (i) the FDA must validate the improved manufacturing process of Bivigam and (ii) not less than $0.5 million in net revenue must be generated in calendar year 2018 from the sale in the U.S. of Bivigam; or (b) (i) the FDA must approve the commercialization of RI-002 and (ii) not less than $0.5 million in net revenue must be generated in calendar year 2019 from the sale in the U.S. of RI-002.</w:t>
      </w:r>
    </w:p>
    <w:p>
      <w:pPr>
        <w:spacing w:after="0" w:line="184"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Based on the fair value of the Tranche One Warrants, the facility fee and the fees and expenses associated with obtaining the Credit Facility, the effective interest rate on the Tranche One Note is approximately 16.5%. The Company’s obligations under the Credit Agreement are secured by a first-priority lien and security interest in substantially all of the Company’s assets, including a mortgage on the Boca Facility, and those of the Company’s subsidiaries as well as all of the equity interests in each subsidiary.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7" w:name="page88"/>
    <w:bookmarkEnd w:id="87"/>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Credit Agreement contains market representations and warranties, affirmative covenants, negative covenants, financial covenants, and conditions that are customarily required for similar financings. The affirmative covenants, among other things, require the Company to undertake various reporting requirements. The negative covenants restrict or limit the ability of the Company and its subsidiaries to, among other things, incur new indebtedness; create liens on assets; engage in certain fundamental corporate changes or changes to the Company’s business activities; sell or otherwise dispose of assets; repurchase stock, pay dividends; repay certain other indebtedness; engage in certain affiliate transactions; or enter into any other agreements that restrict the Company’s ability to make loan repayments. In addition, the Company is required to maintain a minimum liquidity, defined in the Credit Agreement as cash held in the debt service reserve account and any other deposit account subject to a control agreement with the Administrative Agent, of not less than $5.5 million at all times. The Credit Agreement also required the establishment of the debt service reserve account. The Company is currently required to maintain a minimum balance in this account of $5.5 million, and this amount is reflected as restricted cash in the accompanying consolidated balance sheet as of December 31, 2017. Upon the satisfaction of certain conditions related to some of the Company’s leased properties, the minimum required balance in the debt service reserve account, as well as the minimum liquidity requirement, will be reduced to $4.0 million. At December 31, 2017 and 2016, the Company was in compliance with all of the covenants contained in its senior lending agreements.</w:t>
      </w:r>
    </w:p>
    <w:p>
      <w:pPr>
        <w:spacing w:after="0" w:line="19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which include, among others, non-payment of principal, interest or fees, violation of covenants, inaccuracy of representations and warranties, bankruptcy and insolvency events, material judgments, cross-defaults to material contracts and events constituting a change of control. The occurrence of an Event of Default could result in, among other things, the termination of commitments under the Credit Facility and the declaration that all outstanding Loans are immediately due and payable in whole or in part.</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the event the Company prepays a term loan for any reason, including the acceleration of indebtedness upon an Event of Default, the Company is obligated to pay a prepayment charge corresponding to a percentage of the principal amount of the applicable term loan prepaid, as well as a make-whole premium based on the excess of the amount of the loan being prepaid over the discounted amount of such prepayment, in accordance with the terms of the Credit Agreement.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Related Party Note Payable</w:t>
            </w:r>
          </w:p>
        </w:tc>
        <w:tc>
          <w:tcPr>
            <w:tcW w:w="6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8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 summary of the outstanding related party note payable is as follows: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20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2016</w:t>
            </w:r>
          </w:p>
        </w:tc>
      </w:tr>
      <w:tr>
        <w:trPr>
          <w:trHeight w:val="210"/>
        </w:trPr>
        <w:tc>
          <w:tcPr>
            <w:tcW w:w="8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note payable to Biotest</w:t>
            </w: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15,000,000</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discount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(157,604)</w:t>
            </w:r>
          </w:p>
        </w:tc>
        <w:tc>
          <w:tcPr>
            <w:tcW w:w="2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23"/>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payable - related party</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14,842,396</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0"/>
        </w:trPr>
        <w:tc>
          <w:tcPr>
            <w:tcW w:w="20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the Biotest Assets (see Note 3), ADMA BioManufacturing issued a subordinated note payable to BPC and in connection therewith received cash proceeds of $15.0 million. The note bears interest at a rate of 6.0% per annum and matures on June 6, 2022. The Company is obligated to make semi-annual interest payments, with all principal and unpaid interest due at maturity. The note is subordinate to the Tranche One Note with Marathon. In the event of default, all principal and unpaid interest is due on demand. The subordinated note also contains several non-financial covenants with which the Company was in compliance as of December 31, 2017. The Company incurred $0.2 million of debt issuance costs in connection with the issuance of this note, which were recorded as a debt discount. The debt discount is being amortized as interest expense over the term of the note.</w:t>
      </w:r>
    </w:p>
    <w:p>
      <w:pPr>
        <w:spacing w:after="0" w:line="184"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is currently authorized to issue up to 10 million shares of preferred stock, $.0001, par value. There were no shares of preferred stock outstanding at December 31, 2017 and 2016.</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8" w:name="page89"/>
    <w:bookmarkEnd w:id="88"/>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2017, the Company was authorized to issue 75 million shares of its common stock, and 36,725,499 shares of common stock were outstanding. After giving effect to shares reserved for the issuance of warrants and stock options, 34,470,298 shares of common stock were available for issuance as of December 31, 2017. As of December 31, 2017, 8,591,160 shares of the Company’s non-voting common stock were authorized, issued and outstanding.</w:t>
      </w:r>
    </w:p>
    <w:p>
      <w:pPr>
        <w:spacing w:after="0" w:line="18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On November 13, 2017, the Company completed an underwritten public offering of 19,523,255 shares of its common stock for gross proceeds of $42.0 million. Net proceeds from this offering, after payment of underwriting discounts and offering expenses of $2.8 million, were $39.2 million.</w:t>
      </w:r>
    </w:p>
    <w:p>
      <w:pPr>
        <w:spacing w:after="0" w:line="16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June 6, 2017, the Company issued 4,295,580 shares of common stock and 8,591,160 shares of its non-voting common stock to Biotest in connection with the Biotest Transaction (see Note 3). Except as otherwise required by applicable law, holders of shares of non-voting common stock are not entitled to vote on any matter that is submitted to a vote of the stockholders of the Company; provided, however, that for so long as any shares of non-voting common stock are outstanding, the Company may not, without the prior vote of the holders of at least a majority of the shares of non-voting common stock then outstanding (voting separately as a single class), amend, alter or repeal, whether by merger, consolidation or otherwise, the powers, preferences, or other rights of the shares of non-voting common stock in an adverse manner relative to the powers, preferences or other rights of the shares of the voting common stock, except as permitted by the stockholders’ agreement between the Company and BPC or the Company’s Amended and Restated Certificate of Incorporation. Under certain conditions, the non-voting common stock is convertible into voting common stock.</w:t>
      </w:r>
    </w:p>
    <w:p>
      <w:pPr>
        <w:spacing w:after="0" w:line="185" w:lineRule="exact"/>
        <w:rPr>
          <w:sz w:val="20"/>
          <w:szCs w:val="20"/>
          <w:color w:val="auto"/>
        </w:rPr>
      </w:pPr>
    </w:p>
    <w:p>
      <w:pPr>
        <w:ind w:right="800" w:firstLine="648"/>
        <w:spacing w:after="0" w:line="266" w:lineRule="auto"/>
        <w:rPr>
          <w:sz w:val="20"/>
          <w:szCs w:val="20"/>
          <w:color w:val="auto"/>
        </w:rPr>
      </w:pPr>
      <w:r>
        <w:rPr>
          <w:rFonts w:ascii="Times New Roman" w:cs="Times New Roman" w:eastAsia="Times New Roman" w:hAnsi="Times New Roman"/>
          <w:sz w:val="18"/>
          <w:szCs w:val="18"/>
          <w:color w:val="auto"/>
        </w:rPr>
        <w:t>On May 3, 2016, the Company completed an underwritten public offering of 2,176,154 shares of its common stock for gross proceeds of approximately $14.1 million. Net proceeds from this offering were $12.9 million, after payment of underwriting discounts and offering expenses of approximately $1.2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On October 10, 2017, the Company issued to Marathon the Tranche One Warrants (see Note 7) whereby Marathon may purchase an aggregate of 339,301 shares of common stock with an exercise price $3.0946 per share. The Tranche One Warrants became exercisable on the Marathon Closing Date, were valued at $0.6 million and were recorded as discount to the Tranche One Note.</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May 2016, the Company issued to Oxford warrants to purchase an aggregate of up to 24,800 shares of the Company’s common stock at an exercise price equal to $6.37 per share. The warrants became exercisable on May 13, 2016 for cash or by net exercise and will expire seven years after their issuance on May 13, 2023. The fair value of these warrants was $0.1 million, which was recognized as a debt discount to the carrying value of the loan.</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the warrants issued during the years ended December 31, 2017 and 2016 were determined using the Black-Scholes option-pricing model with the following assumptions: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6040" w:type="dxa"/>
            <w:vAlign w:val="bottom"/>
          </w:tcPr>
          <w:p>
            <w:pPr>
              <w:spacing w:after="0"/>
              <w:rPr>
                <w:sz w:val="20"/>
                <w:szCs w:val="20"/>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2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0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 years</w:t>
            </w:r>
          </w:p>
        </w:tc>
        <w:tc>
          <w:tcPr>
            <w:tcW w:w="2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2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9" w:name="page90"/>
    <w:bookmarkEnd w:id="89"/>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At December 31, 2017, the Company had outstanding warrants to purchase an aggregate of 528,160 shares of common stock, with a weighted average exercise price of $4.76 per share and with expiration dates ranging between June 2022 and October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the Company grants stock options or other equity-based awards under the Company’s 2007 Employee Stock Option Plan (the “2007 Plan”) and the Amended and Restated 2014 Omnibus Incentive Compensation Plan (the “2014 Plan”).</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2014 Plan, as amended, was approved by the Board of Directors of ADMA (the “Board”) on March 15, 2017 and ratified by the Company’s stockholders on May 25, 2017. Currently, the maximum number of shares reserved for grant under the 2014 Plan is: (a) 2,334,940 shares, less any shares available as of such date for issuance under the 2007 Plan; plus (b) an annual increase as of the first day of the Company’s fiscal year, beginning in 2018 and occurring each year thereafter through 2022, equal to 4% of the outstanding shares of common stock as of the end of the Company’s immediately preceding fiscal year, or any lesser number of shares determined by the Board; provided, however, that no more than an aggregate of 10 million shares of common stock may be issued pursuant to incentive stock options intended to qualify under Section 422 of the Internal Revenue Code. As of December 31, 2017, an aggregate of 654,645 shares were available for issuance under the 2007 Plan and the 2014 Plan. In accordance with the foregoing, on January 1, 2018, the aggregate number of shares available for issuance increased to 2,467,311.</w:t>
      </w:r>
    </w:p>
    <w:p>
      <w:pPr>
        <w:spacing w:after="0" w:line="18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2017 and 2016, the Company recorded stock-based compensation expense to employees of $1.6 million and $1.3 million, respectively. The fair value of employee options granted was determined on the date of grant using the Black-Scholes model. The Black-Scholes option valuation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the Company utilized the U.S. Treasury yield curve in effect at the time of the grant with a term consistent with the expected term of the Company’s awards. The expected term of the options granted is in accordance with Staff Accounting Bulletins 107 and 110, which is based on the average between vesting terms and contractual terms. The expected dividend yield reflects the Company’s current and expected future policy for dividends on the Company’s common stock. The expected stock price volatility for the Company’s stock options was calculated by examining the pro rata historical volatilities for similar publicly traded industry peers and the trading history for the Company’s common stock. The Company will continue to analyze the expected stock price volatility and expected term assumptions.</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2007 Plan and 2014 Plan provide for the Board or a Committee of the Board (the “Committee”) to grant awards to optionees and to determine the exercise price, vesting term, expiration date and all other terms and conditions of the awards, including acceleration of the vesting of an award at any time. All options granted under the 2007 and 2014 Plans are intended to be incentive stock options (“ISOs”), unless specified by the Committee to be non-qualified options (“NQOs”) as defined by the Internal Revenue Code. ISOs and NQOs may be granted to employees, consultants or Board members at an option price not less than the fair market value of the common stock subject to the stock option agreement. The following table summarizes information about stock options outstanding as of December 31, 2017 and 2016:</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Borders>
              <w:bottom w:val="single" w:sz="8" w:color="0000EE"/>
            </w:tcBorders>
          </w:tcPr>
          <w:p>
            <w:pPr>
              <w:jc w:val="right"/>
              <w:spacing w:after="0"/>
              <w:rPr>
                <w:rFonts w:ascii="Times New Roman" w:cs="Times New Roman" w:eastAsia="Times New Roman" w:hAnsi="Times New Roman"/>
                <w:sz w:val="14"/>
                <w:szCs w:val="14"/>
                <w:color w:val="0000EE"/>
                <w:w w:val="99"/>
              </w:rPr>
            </w:pPr>
            <w:hyperlink w:anchor="page3">
              <w:r>
                <w:rPr>
                  <w:rFonts w:ascii="Times New Roman" w:cs="Times New Roman" w:eastAsia="Times New Roman" w:hAnsi="Times New Roman"/>
                  <w:sz w:val="14"/>
                  <w:szCs w:val="14"/>
                  <w:color w:val="0000EE"/>
                  <w:w w:val="99"/>
                </w:rPr>
                <w:t>Table of Contents</w:t>
              </w:r>
            </w:hyperlink>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3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5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1,464,203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100,984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1,535,187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1,976,295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3,276,043</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1,338,568</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remaining contractual term of stock options outstanding and expected to vest at December 31, 2017 is 7.9 years. The weighted average remaining contractual term of stock options exercisable at December 31, 2017 is 5.8 years. The following table summarizes additional information regarding outstanding and exercisable options under the stock option plans at December 31, 2017:</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9"/>
                <w:szCs w:val="9"/>
                <w:b w:val="1"/>
                <w:bCs w:val="1"/>
                <w:color w:val="auto"/>
              </w:rPr>
              <w:t>Stock Options Outstanding</w:t>
            </w: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9"/>
                <w:szCs w:val="9"/>
                <w:b w:val="1"/>
                <w:bCs w:val="1"/>
                <w:color w:val="auto"/>
              </w:rPr>
              <w:t>Stock Options Exercisable</w:t>
            </w: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9"/>
                <w:szCs w:val="9"/>
                <w:color w:val="auto"/>
                <w:w w:val="97"/>
              </w:rPr>
              <w:t>Weighted</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9"/>
                <w:szCs w:val="9"/>
                <w:color w:val="auto"/>
              </w:rPr>
              <w:t>Weighted Average</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Average</w:t>
            </w:r>
          </w:p>
        </w:tc>
        <w:tc>
          <w:tcPr>
            <w:tcW w:w="40" w:type="dxa"/>
            <w:vAlign w:val="bottom"/>
          </w:tcPr>
          <w:p>
            <w:pPr>
              <w:spacing w:after="0"/>
              <w:rPr>
                <w:sz w:val="9"/>
                <w:szCs w:val="9"/>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9"/>
                <w:szCs w:val="9"/>
                <w:color w:val="auto"/>
              </w:rPr>
              <w:t>Aggregate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Weighted Average Remaining</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6"/>
          </w:tcPr>
          <w:p>
            <w:pPr>
              <w:jc w:val="center"/>
              <w:ind w:right="20"/>
              <w:spacing w:after="0"/>
              <w:rPr>
                <w:sz w:val="20"/>
                <w:szCs w:val="20"/>
                <w:color w:val="auto"/>
              </w:rPr>
            </w:pPr>
            <w:r>
              <w:rPr>
                <w:rFonts w:ascii="Times New Roman" w:cs="Times New Roman" w:eastAsia="Times New Roman" w:hAnsi="Times New Roman"/>
                <w:sz w:val="9"/>
                <w:szCs w:val="9"/>
                <w:color w:val="auto"/>
              </w:rPr>
              <w:t>Remaining Contractual</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Exercise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center"/>
              <w:ind w:right="7"/>
              <w:spacing w:after="0"/>
              <w:rPr>
                <w:sz w:val="20"/>
                <w:szCs w:val="20"/>
                <w:color w:val="auto"/>
              </w:rPr>
            </w:pPr>
            <w:r>
              <w:rPr>
                <w:rFonts w:ascii="Times New Roman" w:cs="Times New Roman" w:eastAsia="Times New Roman" w:hAnsi="Times New Roman"/>
                <w:sz w:val="9"/>
                <w:szCs w:val="9"/>
                <w:color w:val="auto"/>
              </w:rPr>
              <w:t>Intrinsic</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Range of Exercise Prices</w:t>
            </w:r>
          </w:p>
        </w:tc>
        <w:tc>
          <w:tcPr>
            <w:tcW w:w="1640" w:type="dxa"/>
            <w:vAlign w:val="bottom"/>
            <w:gridSpan w:val="3"/>
          </w:tcPr>
          <w:p>
            <w:pPr>
              <w:ind w:left="300"/>
              <w:spacing w:after="0"/>
              <w:rPr>
                <w:sz w:val="20"/>
                <w:szCs w:val="20"/>
                <w:color w:val="auto"/>
              </w:rPr>
            </w:pPr>
            <w:r>
              <w:rPr>
                <w:rFonts w:ascii="Times New Roman" w:cs="Times New Roman" w:eastAsia="Times New Roman" w:hAnsi="Times New Roman"/>
                <w:sz w:val="9"/>
                <w:szCs w:val="9"/>
                <w:color w:val="auto"/>
              </w:rPr>
              <w:t>Options Outstanding</w:t>
            </w: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9"/>
                <w:szCs w:val="9"/>
                <w:color w:val="auto"/>
              </w:rPr>
              <w:t>Contractual Life (Years)</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Weighted Average Exercise Price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Aggregate Intrinsic Value</w:t>
            </w:r>
          </w:p>
        </w:tc>
        <w:tc>
          <w:tcPr>
            <w:tcW w:w="1740" w:type="dxa"/>
            <w:vAlign w:val="bottom"/>
            <w:gridSpan w:val="5"/>
          </w:tcPr>
          <w:p>
            <w:pPr>
              <w:jc w:val="right"/>
              <w:ind w:right="593"/>
              <w:spacing w:after="0"/>
              <w:rPr>
                <w:sz w:val="20"/>
                <w:szCs w:val="20"/>
                <w:color w:val="auto"/>
              </w:rPr>
            </w:pPr>
            <w:r>
              <w:rPr>
                <w:rFonts w:ascii="Times New Roman" w:cs="Times New Roman" w:eastAsia="Times New Roman" w:hAnsi="Times New Roman"/>
                <w:sz w:val="9"/>
                <w:szCs w:val="9"/>
                <w:color w:val="auto"/>
              </w:rPr>
              <w:t>Options Outstanding</w:t>
            </w:r>
          </w:p>
        </w:tc>
        <w:tc>
          <w:tcPr>
            <w:tcW w:w="100" w:type="dxa"/>
            <w:vAlign w:val="bottom"/>
          </w:tcPr>
          <w:p>
            <w:pPr>
              <w:spacing w:after="0"/>
              <w:rPr>
                <w:sz w:val="10"/>
                <w:szCs w:val="10"/>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9"/>
                <w:szCs w:val="9"/>
                <w:color w:val="auto"/>
                <w:w w:val="99"/>
              </w:rPr>
              <w:t>Life (Years)</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jc w:val="right"/>
              <w:ind w:right="18"/>
              <w:spacing w:after="0"/>
              <w:rPr>
                <w:sz w:val="20"/>
                <w:szCs w:val="20"/>
                <w:color w:val="auto"/>
              </w:rPr>
            </w:pPr>
            <w:r>
              <w:rPr>
                <w:rFonts w:ascii="Times New Roman" w:cs="Times New Roman" w:eastAsia="Times New Roman" w:hAnsi="Times New Roman"/>
                <w:sz w:val="9"/>
                <w:szCs w:val="9"/>
                <w:color w:val="auto"/>
              </w:rPr>
              <w:t>Price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27"/>
              <w:spacing w:after="0"/>
              <w:rPr>
                <w:sz w:val="20"/>
                <w:szCs w:val="20"/>
                <w:color w:val="auto"/>
              </w:rPr>
            </w:pPr>
            <w:r>
              <w:rPr>
                <w:rFonts w:ascii="Times New Roman" w:cs="Times New Roman" w:eastAsia="Times New Roman" w:hAnsi="Times New Roman"/>
                <w:sz w:val="9"/>
                <w:szCs w:val="9"/>
                <w:color w:val="auto"/>
              </w:rPr>
              <w:t>Value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20" w:type="dxa"/>
            <w:vAlign w:val="bottom"/>
            <w:tcBorders>
              <w:top w:val="single" w:sz="8" w:color="CCEEFF"/>
            </w:tcBorders>
            <w:shd w:val="clear" w:color="auto" w:fill="CCEEFF"/>
          </w:tcPr>
          <w:p>
            <w:pPr>
              <w:jc w:val="right"/>
              <w:ind w:right="251"/>
              <w:spacing w:after="0" w:line="102" w:lineRule="exact"/>
              <w:rPr>
                <w:sz w:val="20"/>
                <w:szCs w:val="20"/>
                <w:color w:val="auto"/>
              </w:rPr>
            </w:pPr>
            <w:r>
              <w:rPr>
                <w:rFonts w:ascii="Times New Roman" w:cs="Times New Roman" w:eastAsia="Times New Roman" w:hAnsi="Times New Roman"/>
                <w:sz w:val="9"/>
                <w:szCs w:val="9"/>
                <w:color w:val="auto"/>
              </w:rPr>
              <w:t>$1.34 - $2.06</w:t>
            </w:r>
          </w:p>
        </w:tc>
        <w:tc>
          <w:tcPr>
            <w:tcW w:w="1380" w:type="dxa"/>
            <w:vAlign w:val="bottom"/>
            <w:tcBorders>
              <w:top w:val="single" w:sz="8" w:color="auto"/>
            </w:tcBorders>
            <w:shd w:val="clear" w:color="auto" w:fill="CCEEFF"/>
          </w:tcPr>
          <w:p>
            <w:pPr>
              <w:jc w:val="right"/>
              <w:ind w:right="73"/>
              <w:spacing w:after="0" w:line="102" w:lineRule="exact"/>
              <w:rPr>
                <w:sz w:val="20"/>
                <w:szCs w:val="20"/>
                <w:color w:val="auto"/>
              </w:rPr>
            </w:pPr>
            <w:r>
              <w:rPr>
                <w:rFonts w:ascii="Times New Roman" w:cs="Times New Roman" w:eastAsia="Times New Roman" w:hAnsi="Times New Roman"/>
                <w:sz w:val="9"/>
                <w:szCs w:val="9"/>
                <w:color w:val="auto"/>
              </w:rPr>
              <w:t>35,418</w:t>
            </w:r>
          </w:p>
        </w:tc>
        <w:tc>
          <w:tcPr>
            <w:tcW w:w="2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320" w:type="dxa"/>
            <w:vAlign w:val="bottom"/>
            <w:tcBorders>
              <w:top w:val="single" w:sz="8" w:color="auto"/>
            </w:tcBorders>
            <w:shd w:val="clear" w:color="auto" w:fill="CCEEFF"/>
          </w:tcPr>
          <w:p>
            <w:pPr>
              <w:jc w:val="right"/>
              <w:ind w:right="53"/>
              <w:spacing w:after="0" w:line="102" w:lineRule="exact"/>
              <w:rPr>
                <w:sz w:val="20"/>
                <w:szCs w:val="20"/>
                <w:color w:val="auto"/>
              </w:rPr>
            </w:pPr>
            <w:r>
              <w:rPr>
                <w:rFonts w:ascii="Times New Roman" w:cs="Times New Roman" w:eastAsia="Times New Roman" w:hAnsi="Times New Roman"/>
                <w:sz w:val="9"/>
                <w:szCs w:val="9"/>
                <w:color w:val="auto"/>
              </w:rPr>
              <w:t>8.9</w:t>
            </w:r>
          </w:p>
        </w:tc>
        <w:tc>
          <w:tcPr>
            <w:tcW w:w="2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9"/>
                <w:szCs w:val="9"/>
                <w:color w:val="auto"/>
                <w:w w:val="87"/>
              </w:rPr>
              <w:t>$</w:t>
            </w:r>
          </w:p>
        </w:tc>
        <w:tc>
          <w:tcPr>
            <w:tcW w:w="1340" w:type="dxa"/>
            <w:vAlign w:val="bottom"/>
            <w:tcBorders>
              <w:top w:val="single" w:sz="8" w:color="auto"/>
            </w:tcBorders>
            <w:shd w:val="clear" w:color="auto" w:fill="CCEEFF"/>
          </w:tcPr>
          <w:p>
            <w:pPr>
              <w:jc w:val="right"/>
              <w:ind w:right="53"/>
              <w:spacing w:after="0" w:line="102" w:lineRule="exact"/>
              <w:rPr>
                <w:sz w:val="20"/>
                <w:szCs w:val="20"/>
                <w:color w:val="auto"/>
              </w:rPr>
            </w:pPr>
            <w:r>
              <w:rPr>
                <w:rFonts w:ascii="Times New Roman" w:cs="Times New Roman" w:eastAsia="Times New Roman" w:hAnsi="Times New Roman"/>
                <w:sz w:val="9"/>
                <w:szCs w:val="9"/>
                <w:color w:val="auto"/>
              </w:rPr>
              <w:t>1.97</w:t>
            </w:r>
          </w:p>
        </w:tc>
        <w:tc>
          <w:tcPr>
            <w:tcW w:w="2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260" w:type="dxa"/>
            <w:vAlign w:val="bottom"/>
            <w:tcBorders>
              <w:top w:val="single" w:sz="8" w:color="auto"/>
            </w:tcBorders>
            <w:shd w:val="clear" w:color="auto" w:fill="CCEEFF"/>
          </w:tcPr>
          <w:p>
            <w:pPr>
              <w:jc w:val="right"/>
              <w:ind w:right="73"/>
              <w:spacing w:after="0" w:line="102" w:lineRule="exact"/>
              <w:rPr>
                <w:sz w:val="20"/>
                <w:szCs w:val="20"/>
                <w:color w:val="auto"/>
              </w:rPr>
            </w:pPr>
            <w:r>
              <w:rPr>
                <w:rFonts w:ascii="Times New Roman" w:cs="Times New Roman" w:eastAsia="Times New Roman" w:hAnsi="Times New Roman"/>
                <w:sz w:val="9"/>
                <w:szCs w:val="9"/>
                <w:color w:val="auto"/>
              </w:rPr>
              <w:t>44,092</w:t>
            </w:r>
          </w:p>
        </w:tc>
        <w:tc>
          <w:tcPr>
            <w:tcW w:w="20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jc w:val="right"/>
              <w:ind w:right="31"/>
              <w:spacing w:after="0" w:line="102" w:lineRule="exact"/>
              <w:rPr>
                <w:sz w:val="20"/>
                <w:szCs w:val="20"/>
                <w:color w:val="auto"/>
              </w:rPr>
            </w:pPr>
            <w:r>
              <w:rPr>
                <w:rFonts w:ascii="Times New Roman" w:cs="Times New Roman" w:eastAsia="Times New Roman" w:hAnsi="Times New Roman"/>
                <w:sz w:val="9"/>
                <w:szCs w:val="9"/>
                <w:color w:val="auto"/>
              </w:rPr>
              <w:t>4,668</w:t>
            </w:r>
          </w:p>
        </w:tc>
        <w:tc>
          <w:tcPr>
            <w:tcW w:w="2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9"/>
                <w:szCs w:val="9"/>
                <w:color w:val="auto"/>
              </w:rPr>
              <w:t>2.4</w:t>
            </w: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line="102" w:lineRule="exact"/>
              <w:rPr>
                <w:sz w:val="20"/>
                <w:szCs w:val="20"/>
                <w:color w:val="auto"/>
              </w:rPr>
            </w:pPr>
            <w:r>
              <w:rPr>
                <w:rFonts w:ascii="Times New Roman" w:cs="Times New Roman" w:eastAsia="Times New Roman" w:hAnsi="Times New Roman"/>
                <w:sz w:val="9"/>
                <w:szCs w:val="9"/>
                <w:color w:val="auto"/>
              </w:rPr>
              <w:t>$</w:t>
            </w:r>
          </w:p>
        </w:tc>
        <w:tc>
          <w:tcPr>
            <w:tcW w:w="30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9"/>
                <w:szCs w:val="9"/>
                <w:color w:val="auto"/>
              </w:rPr>
              <w:t>1.34</w:t>
            </w: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top w:val="single" w:sz="8" w:color="auto"/>
            </w:tcBorders>
            <w:shd w:val="clear" w:color="auto" w:fill="CCEEFF"/>
          </w:tcPr>
          <w:p>
            <w:pPr>
              <w:jc w:val="right"/>
              <w:ind w:right="7"/>
              <w:spacing w:after="0" w:line="102" w:lineRule="exact"/>
              <w:rPr>
                <w:sz w:val="20"/>
                <w:szCs w:val="20"/>
                <w:color w:val="auto"/>
              </w:rPr>
            </w:pPr>
            <w:r>
              <w:rPr>
                <w:rFonts w:ascii="Times New Roman" w:cs="Times New Roman" w:eastAsia="Times New Roman" w:hAnsi="Times New Roman"/>
                <w:sz w:val="9"/>
                <w:szCs w:val="9"/>
                <w:color w:val="auto"/>
              </w:rPr>
              <w:t>8,729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Pr>
          <w:p>
            <w:pPr>
              <w:jc w:val="right"/>
              <w:ind w:right="251"/>
              <w:spacing w:after="0"/>
              <w:rPr>
                <w:sz w:val="20"/>
                <w:szCs w:val="20"/>
                <w:color w:val="auto"/>
              </w:rPr>
            </w:pPr>
            <w:r>
              <w:rPr>
                <w:rFonts w:ascii="Times New Roman" w:cs="Times New Roman" w:eastAsia="Times New Roman" w:hAnsi="Times New Roman"/>
                <w:sz w:val="9"/>
                <w:szCs w:val="9"/>
                <w:color w:val="auto"/>
              </w:rPr>
              <w:t>$2.53 - $5.00</w:t>
            </w:r>
          </w:p>
        </w:tc>
        <w:tc>
          <w:tcPr>
            <w:tcW w:w="13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1,927,331</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3.75</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21,385</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9"/>
                <w:szCs w:val="9"/>
                <w:color w:val="auto"/>
              </w:rPr>
              <w:t>133,869</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9.0</w:t>
            </w:r>
          </w:p>
        </w:tc>
        <w:tc>
          <w:tcPr>
            <w:tcW w:w="20" w:type="dxa"/>
            <w:vAlign w:val="bottom"/>
          </w:tcPr>
          <w:p>
            <w:pPr>
              <w:spacing w:after="0"/>
              <w:rPr>
                <w:sz w:val="9"/>
                <w:szCs w:val="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3.87</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ind w:right="7"/>
              <w:spacing w:after="0"/>
              <w:rPr>
                <w:sz w:val="20"/>
                <w:szCs w:val="20"/>
                <w:color w:val="auto"/>
              </w:rPr>
            </w:pPr>
            <w:r>
              <w:rPr>
                <w:rFonts w:ascii="Times New Roman" w:cs="Times New Roman" w:eastAsia="Times New Roman" w:hAnsi="Times New Roman"/>
                <w:sz w:val="9"/>
                <w:szCs w:val="9"/>
                <w:color w:val="auto"/>
              </w:rPr>
              <w:t>3,067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9"/>
                <w:szCs w:val="9"/>
                <w:color w:val="auto"/>
              </w:rPr>
              <w:t>$5.96 - $8.98</w:t>
            </w:r>
          </w:p>
        </w:tc>
        <w:tc>
          <w:tcPr>
            <w:tcW w:w="13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9"/>
                <w:szCs w:val="9"/>
                <w:color w:val="auto"/>
              </w:rPr>
              <w:t>1,026,794</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9"/>
                <w:szCs w:val="9"/>
                <w:color w:val="auto"/>
              </w:rPr>
              <w:t>5.2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3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9"/>
                <w:szCs w:val="9"/>
                <w:color w:val="auto"/>
              </w:rPr>
              <w:t>7.64</w:t>
            </w: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9"/>
                <w:szCs w:val="9"/>
                <w:color w:val="auto"/>
              </w:rPr>
              <w:t>993,581</w:t>
            </w: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7.65</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20" w:type="dxa"/>
            <w:vAlign w:val="bottom"/>
            <w:tcBorders>
              <w:bottom w:val="single" w:sz="8" w:color="CCEEFF"/>
            </w:tcBorders>
          </w:tcPr>
          <w:p>
            <w:pPr>
              <w:jc w:val="right"/>
              <w:ind w:right="251"/>
              <w:spacing w:after="0"/>
              <w:rPr>
                <w:sz w:val="20"/>
                <w:szCs w:val="20"/>
                <w:color w:val="auto"/>
              </w:rPr>
            </w:pPr>
            <w:r>
              <w:rPr>
                <w:rFonts w:ascii="Times New Roman" w:cs="Times New Roman" w:eastAsia="Times New Roman" w:hAnsi="Times New Roman"/>
                <w:sz w:val="9"/>
                <w:szCs w:val="9"/>
                <w:color w:val="auto"/>
              </w:rPr>
              <w:t>$9.37 - $10.80</w:t>
            </w:r>
          </w:p>
        </w:tc>
        <w:tc>
          <w:tcPr>
            <w:tcW w:w="1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286,500</w:t>
            </w:r>
          </w:p>
        </w:tc>
        <w:tc>
          <w:tcPr>
            <w:tcW w:w="2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320" w:type="dxa"/>
            <w:vAlign w:val="bottom"/>
            <w:tcBorders>
              <w:bottom w:val="single" w:sz="8" w:color="CCEEFF"/>
            </w:tcBorders>
          </w:tcPr>
          <w:p>
            <w:pPr>
              <w:jc w:val="right"/>
              <w:ind w:right="53"/>
              <w:spacing w:after="0"/>
              <w:rPr>
                <w:sz w:val="20"/>
                <w:szCs w:val="20"/>
                <w:color w:val="auto"/>
              </w:rPr>
            </w:pPr>
            <w:r>
              <w:rPr>
                <w:rFonts w:ascii="Times New Roman" w:cs="Times New Roman" w:eastAsia="Times New Roman" w:hAnsi="Times New Roman"/>
                <w:sz w:val="9"/>
                <w:szCs w:val="9"/>
                <w:color w:val="auto"/>
              </w:rPr>
              <w:t>7.3</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340" w:type="dxa"/>
            <w:vAlign w:val="bottom"/>
            <w:tcBorders>
              <w:bottom w:val="single" w:sz="8" w:color="CCEEFF"/>
            </w:tcBorders>
          </w:tcPr>
          <w:p>
            <w:pPr>
              <w:jc w:val="right"/>
              <w:ind w:right="53"/>
              <w:spacing w:after="0"/>
              <w:rPr>
                <w:sz w:val="20"/>
                <w:szCs w:val="20"/>
                <w:color w:val="auto"/>
              </w:rPr>
            </w:pPr>
            <w:r>
              <w:rPr>
                <w:rFonts w:ascii="Times New Roman" w:cs="Times New Roman" w:eastAsia="Times New Roman" w:hAnsi="Times New Roman"/>
                <w:sz w:val="9"/>
                <w:szCs w:val="9"/>
                <w:color w:val="auto"/>
              </w:rPr>
              <w:t>10.33</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9"/>
                <w:szCs w:val="9"/>
                <w:color w:val="auto"/>
              </w:rPr>
              <w:t>206,450</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9"/>
                <w:szCs w:val="9"/>
                <w:color w:val="auto"/>
              </w:rPr>
              <w:t>7.3</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9"/>
                <w:szCs w:val="9"/>
                <w:color w:val="auto"/>
              </w:rPr>
              <w:t>10.44</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9"/>
                <w:szCs w:val="9"/>
                <w:color w:val="auto"/>
              </w:rPr>
              <w:t>3,276,043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9"/>
                <w:szCs w:val="9"/>
                <w:color w:val="auto"/>
              </w:rPr>
              <w:t>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3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9"/>
                <w:szCs w:val="9"/>
                <w:color w:val="auto"/>
              </w:rPr>
              <w:t>5.52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9"/>
                <w:szCs w:val="9"/>
                <w:color w:val="auto"/>
              </w:rPr>
              <w:t>65,477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9"/>
                <w:szCs w:val="9"/>
                <w:color w:val="auto"/>
              </w:rPr>
              <w:t>1,338,568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7.68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9"/>
                <w:szCs w:val="9"/>
                <w:color w:val="auto"/>
              </w:rPr>
              <w:t>11,796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3"/>
          </w:tcPr>
          <w:p>
            <w:pPr>
              <w:spacing w:after="0" w:line="20" w:lineRule="exact"/>
              <w:rPr>
                <w:sz w:val="1"/>
                <w:szCs w:val="1"/>
                <w:color w:val="auto"/>
              </w:rPr>
            </w:pPr>
          </w:p>
        </w:tc>
        <w:tc>
          <w:tcPr>
            <w:tcW w:w="1600" w:type="dxa"/>
            <w:vAlign w:val="bottom"/>
            <w:tcBorders>
              <w:top w:val="single" w:sz="8" w:color="CCEEFF"/>
            </w:tcBorders>
            <w:gridSpan w:val="3"/>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Stock-based compensation expense for the years ended December 31, 2017 and 2016 was as follows:</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380,925</w:t>
            </w:r>
          </w:p>
        </w:tc>
        <w:tc>
          <w:tcPr>
            <w:tcW w:w="7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7"/>
              <w:spacing w:after="0"/>
              <w:rPr>
                <w:sz w:val="20"/>
                <w:szCs w:val="20"/>
                <w:color w:val="auto"/>
              </w:rPr>
            </w:pPr>
            <w:r>
              <w:rPr>
                <w:rFonts w:ascii="Times New Roman" w:cs="Times New Roman" w:eastAsia="Times New Roman" w:hAnsi="Times New Roman"/>
                <w:sz w:val="18"/>
                <w:szCs w:val="18"/>
                <w:color w:val="auto"/>
              </w:rPr>
              <w:t>439,982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Plasma centers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47,330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47"/>
              <w:spacing w:after="0"/>
              <w:rPr>
                <w:sz w:val="20"/>
                <w:szCs w:val="20"/>
                <w:color w:val="auto"/>
              </w:rPr>
            </w:pPr>
            <w:r>
              <w:rPr>
                <w:rFonts w:ascii="Times New Roman" w:cs="Times New Roman" w:eastAsia="Times New Roman" w:hAnsi="Times New Roman"/>
                <w:sz w:val="18"/>
                <w:szCs w:val="18"/>
                <w:color w:val="auto"/>
              </w:rPr>
              <w:t>52,973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1,081,236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7"/>
              <w:spacing w:after="0"/>
              <w:rPr>
                <w:sz w:val="20"/>
                <w:szCs w:val="20"/>
                <w:color w:val="auto"/>
              </w:rPr>
            </w:pPr>
            <w:r>
              <w:rPr>
                <w:rFonts w:ascii="Times New Roman" w:cs="Times New Roman" w:eastAsia="Times New Roman" w:hAnsi="Times New Roman"/>
                <w:sz w:val="18"/>
                <w:szCs w:val="18"/>
                <w:color w:val="auto"/>
              </w:rPr>
              <w:t>757,119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52,168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1,561,659</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5"/>
            <w:shd w:val="clear" w:color="auto" w:fill="CCEEFF"/>
          </w:tcPr>
          <w:p>
            <w:pPr>
              <w:jc w:val="right"/>
              <w:ind w:right="47"/>
              <w:spacing w:after="0"/>
              <w:rPr>
                <w:sz w:val="20"/>
                <w:szCs w:val="20"/>
                <w:color w:val="auto"/>
              </w:rPr>
            </w:pPr>
            <w:r>
              <w:rPr>
                <w:rFonts w:ascii="Times New Roman" w:cs="Times New Roman" w:eastAsia="Times New Roman" w:hAnsi="Times New Roman"/>
                <w:sz w:val="18"/>
                <w:szCs w:val="18"/>
                <w:color w:val="auto"/>
              </w:rPr>
              <w:t>1,250,074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2017, the total unrecognized compensation expense related to unvested options was $4.0 million, which is expected to be recognized over a weighted-average period of 2.8 years. The Company’s outstanding and exercisable options had an intrinsic value of approximately $12,000 as of December 31, 2017.</w:t>
      </w:r>
    </w:p>
    <w:p>
      <w:pPr>
        <w:spacing w:after="0" w:line="172" w:lineRule="exact"/>
        <w:rPr>
          <w:sz w:val="20"/>
          <w:szCs w:val="20"/>
          <w:color w:val="auto"/>
        </w:rPr>
      </w:pPr>
    </w:p>
    <w:p>
      <w:pPr>
        <w:ind w:left="500" w:hanging="447"/>
        <w:spacing w:after="0"/>
        <w:tabs>
          <w:tab w:leader="none" w:pos="5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leases an office building and equipment from Areth, LLC (“Areth”) pursuant to a shared services agreement on a month-to-month basis of which terms had been amended by the Company’s Board of Directors in June 2016. Effective October 1, 2017, monthly rent on this facility was reduced to $10,000. Rent expense amounted to $0.2 million for the years December 31, 2017 and 2016. Areth is a company controlled by Dr. Jerrold B. Grossman, the Company’s Vice Chairman, and Adam S. Grossman, the Company’s President and Chief Executive Officer. The Company pays Areth monthly fees for the use of such office space and for other information technology, general warehousing and administrative services. The Company also reimburses Areth for office and building related (common area) expenses, equipment and certain other operational expenses, which were not material to the consolidated financial statements for the years ended December 31, 2017 and 2016.</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91" w:name="page92"/>
    <w:bookmarkEnd w:id="91"/>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2017 and 2016, the Company maintained deposits and other accounts at Lakeland Bankcorp, Inc., formerly Pascack Bankcorp, a bank of which Dr. Grossman served as a director through January 2016, and which was approximately 5%-owned by members of the Grossman family. Pascack Bankcorp was acquired by Lakeland Bancorp, Inc. in January 2016 and Dr. Grossman is currently a member of the Corporate Advisory Council of Lakeland Bancorp Inc.</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2017, the Company has a $15.0 million subordinated note payable to BPC (see Note 7), and the Company recognized interest expense on this note for the year ended December 31, 2017 in the amount of $0.5 million.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2017 and 2016, the Company recognized revenues under its out-licensing agreement with Biotest of $0.1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of $2.7 million and $2.8 million as of December 31, 2017 and 2016, respectively, is related to this agreement.</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Biotest is the Company’s largest customer for the sale of normal source plasma. Plasma sales to Biotest for the years ended December 31, 2017 and 2016 were $10.7 million and $8.7 million, respectively. Accounts receivable includes $1.2 million and $1.0 million due from Biotest as of December 31, 2017 and 2016, respectively. Additionally, Biotest is a supplier of plasma to ADMA, with the Company purchasing approximately $2.8 million and $1.6 million of plasma in the years ended December 31, 2017 and 2016, respectively. Included in accounts payable is approximately $0.1 million due to Biotest as of December 31, 2017 and 2016. The following table summarizes the related party balances with Biotest:</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 and purchase of plasma</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revenue</w:t>
            </w:r>
          </w:p>
        </w:tc>
        <w:tc>
          <w:tcPr>
            <w:tcW w:w="24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10,664,456</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8,745,844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2,776,959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1,606,573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License revenue</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142,834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142,834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1,245,677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969,675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139,939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314,820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net of discount</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14,842,396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2,690,033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2,832,867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40" w:firstLine="648"/>
        <w:spacing w:after="0" w:line="273" w:lineRule="auto"/>
        <w:rPr>
          <w:sz w:val="20"/>
          <w:szCs w:val="20"/>
          <w:color w:val="auto"/>
        </w:rPr>
      </w:pPr>
      <w:r>
        <w:rPr>
          <w:rFonts w:ascii="Times New Roman" w:cs="Times New Roman" w:eastAsia="Times New Roman" w:hAnsi="Times New Roman"/>
          <w:sz w:val="17"/>
          <w:szCs w:val="17"/>
          <w:color w:val="auto"/>
        </w:rPr>
        <w:t>In connection with the acquisition of the Biotest Assets, the Company entered into a Transition Services Agreement with BPC pursuant to which each of the Company and BPC agreed to provide transition services to the other party, including services related to finance, human resources, information technologies, leasing of equipment and clinical and regulatory services for a period of up to 24 months after the June 6, 2017 closing date, as well as agreements to lease certain laboratory space within the Boca Facility to BPC for a period of up to 24 months after the closing date of the acquisition transaction. As of December 31, 2017, $0.3 million was payable by the Company to BPC for expenses incurred on behalf of the Company and services related to these agreements. This amount is reflected in accrued expenses in the accompanying consolidated balance sheet. The services component of amounts billed to the Company by BPC for the year ended December 31, 2017 was not material to the Company’s consolidated financial statements.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2" w:name="page93"/>
    <w:bookmarkEnd w:id="92"/>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Biotest Transaction, the Company will transfer ownership of two plasma collection centers to BPC on January 1, 2019. The Company has estimated the fair value of these assets to be $12.6 million, and the obligation to transfer these assets to Biotest is reflected in non-current liabilities in the accompanying consolidated balance sheet as of December 31, 2017.</w:t>
      </w:r>
    </w:p>
    <w:p>
      <w:pPr>
        <w:spacing w:after="0" w:line="172" w:lineRule="exact"/>
        <w:rPr>
          <w:sz w:val="20"/>
          <w:szCs w:val="20"/>
          <w:color w:val="auto"/>
        </w:rPr>
      </w:pPr>
    </w:p>
    <w:p>
      <w:pPr>
        <w:ind w:left="540" w:hanging="532"/>
        <w:spacing w:after="0"/>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commitments</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 agreements for its three ADMA BioCenters facilities in Georgia, as well as for certain operating equipment and warehouse space. Total rent expense for the Company’s leased facilities and equipment was $0.6 million and $0.5 million, respectively. Future minimum lease payments for both leases, for each of the next five years ending December 31, and thereafter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2018</w:t>
            </w: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701,494</w:t>
            </w:r>
          </w:p>
        </w:tc>
      </w:tr>
      <w:tr>
        <w:trPr>
          <w:trHeight w:val="216"/>
        </w:trPr>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680,509</w:t>
            </w:r>
          </w:p>
        </w:tc>
      </w:tr>
      <w:tr>
        <w:trPr>
          <w:trHeight w:val="216"/>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679,166</w:t>
            </w:r>
          </w:p>
        </w:tc>
      </w:tr>
      <w:tr>
        <w:trPr>
          <w:trHeight w:val="216"/>
        </w:trPr>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670,814</w:t>
            </w:r>
          </w:p>
        </w:tc>
      </w:tr>
      <w:tr>
        <w:trPr>
          <w:trHeight w:val="216"/>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680,317</w:t>
            </w:r>
          </w:p>
        </w:tc>
      </w:tr>
      <w:tr>
        <w:trPr>
          <w:trHeight w:val="216"/>
        </w:trPr>
        <w:tc>
          <w:tcPr>
            <w:tcW w:w="2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1,260,718</w:t>
            </w:r>
          </w:p>
        </w:tc>
        <w:tc>
          <w:tcPr>
            <w:tcW w:w="120" w:type="dxa"/>
            <w:vAlign w:val="bottom"/>
            <w:tcBorders>
              <w:bottom w:val="single" w:sz="8" w:color="CCEEFF"/>
            </w:tcBorders>
          </w:tcPr>
          <w:p>
            <w:pPr>
              <w:spacing w:after="0"/>
              <w:rPr>
                <w:sz w:val="18"/>
                <w:szCs w:val="18"/>
                <w:color w:val="auto"/>
              </w:rPr>
            </w:pPr>
          </w:p>
        </w:tc>
      </w:tr>
      <w:tr>
        <w:trPr>
          <w:trHeight w:val="210"/>
        </w:trPr>
        <w:tc>
          <w:tcPr>
            <w:tcW w:w="29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4,673,018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Vendor and Licensor Commitments</w:t>
      </w:r>
    </w:p>
    <w:p>
      <w:pPr>
        <w:spacing w:after="0" w:line="22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a license agreement effective December 31, 2012, the Company granted Biotest an exclusive license to market and sell RI-002 in Europe and in selected countries in North Africa and the Middle East, (the “Territory”), to have access to the Company’s testing services for testing of BPC’s plasma samples using the Company’s proprietary RSV assay, and to reference (but not access) the Company’s proprietary information for the purpose of Biotest seeking regulatory approval for RI-002 in the Territory. As consideration for the license, Biotest agreed to provide the Company with certain services at no charge and also compensate the Company with cash payments upon the completion of certain milestones. Such services have been accounted for as deferred revenue which was recognized in 2013 as a result of certain research and development services as provided for in accordance with the license agreement. Deferred revenue is recognized over the term of the license and is amortized into income for a period of approximately 22 years, the term of the license agreement. Biotest is also obligated to pay the Company an adjustable royalty based on a percentage of revenues from the sale of RI-002 in the Territory for 20 years from the date of first commercial sale.</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Pursuant to the terms of a Plasma Purchase Agreement with BPC, the Company has agreed to purchase from BPC an annual minimum volume of source plasma containing antibodies to RSV to be used in the manufacture of RI-002. The agreement does not provide for any penalties in the event the Company does not purchase the agreed- upon annual minimum volume from BPC. In addition, the Company may also collect high-titer RSV plasma from up to five wholly-owned ADMA BioCenters. During 2015, BPC and ADMA amended their Plasma Purchase Agreement to allow ADMA the ability to collect its raw material RSV high-titer plasma from other third party collection organizations, thus allowing ADMA to expand its reach for raw material supply as the Company approaches commercialization for RI-002. In connection with the Biotest Transaction, BPC and ADMA amended the Plasma Purchase Agreement to extend the term for ten years from the June 6, 2017 closing date of the Biotest Transaction. Either party may terminate the agreement if the other party fails to remedy any material default in the performance of any material condition or obligation under the agreement following notice. The Company may also terminate the agreement upon written notice if the clinical development of RI-002 is halted or terminated, whether by the FDA, a Data Safety Monitoring Board, or any other regulatory authority. Upon termination of the agreement, the Company must pay for any source plasma already delivered to the Company and for any source plasma collected under the terms of the agreement.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3" w:name="page94"/>
    <w:bookmarkEnd w:id="93"/>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contracts</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its executive management team consisting of its President and Chief Executive Officer, Chief Medical and Scientific Officer and Chief Financial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Manufacturing Agreement</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the Biotest Assets, the Company acquired all of the rights and assumed all of the obligations under an existing agreement with a third party related to the fractionation of plasma provided by the third party. As more fully described in Note 6, the contract was amended on December 22, 2017 with reduced production requirements. The contract maintains minimum production requirements as well as a payment due to the counterparty to the contract of $1.5 million per year if the minimum volume is not manufactured in that year and no other breach or default under the contract has occurred.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legal matters</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commitments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December 31, 2017. The Company does not anticipate recognizing any significant losses relating to these arrangements.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3"/>
        </w:trPr>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reconciliation of income taxes at the U.S. Federal statutory rate to the benefit for income taxes is as follows: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6"/>
        </w:trPr>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5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at U.S. federal statutory rate</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(14,758,443)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(6,635,151)</w:t>
            </w:r>
          </w:p>
        </w:tc>
      </w:tr>
      <w:tr>
        <w:trPr>
          <w:trHeight w:val="216"/>
        </w:trPr>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taxes - deferred</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(1,581,844)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(266,312)</w:t>
            </w:r>
          </w:p>
        </w:tc>
      </w:tr>
      <w:tr>
        <w:trPr>
          <w:trHeight w:val="216"/>
        </w:trPr>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(751,505)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5,755,413</w:t>
            </w:r>
          </w:p>
        </w:tc>
      </w:tr>
      <w:tr>
        <w:trPr>
          <w:trHeight w:val="216"/>
        </w:trPr>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(272,262)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(322,499)</w:t>
            </w:r>
          </w:p>
        </w:tc>
      </w:tr>
      <w:tr>
        <w:trPr>
          <w:trHeight w:val="216"/>
        </w:trPr>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reform rate change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17,263,248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100,806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1,468,549</w:t>
            </w:r>
          </w:p>
        </w:tc>
      </w:tr>
      <w:tr>
        <w:trPr>
          <w:trHeight w:val="223"/>
        </w:trPr>
        <w:tc>
          <w:tcPr>
            <w:tcW w:w="8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tcPr>
          <w:p>
            <w:pPr>
              <w:ind w:left="180"/>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r>
      <w:tr>
        <w:trPr>
          <w:trHeight w:val="5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deferred tax assets is as follows: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82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19"/>
                <w:szCs w:val="19"/>
                <w:color w:val="auto"/>
              </w:rPr>
            </w:pPr>
          </w:p>
        </w:tc>
      </w:tr>
      <w:tr>
        <w:trPr>
          <w:trHeight w:val="21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29,137,918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30,843,479</w:t>
            </w:r>
          </w:p>
        </w:tc>
        <w:tc>
          <w:tcPr>
            <w:tcW w:w="20" w:type="dxa"/>
            <w:vAlign w:val="bottom"/>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 research credits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4,526,201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4,099,249</w:t>
            </w:r>
          </w:p>
        </w:tc>
        <w:tc>
          <w:tcPr>
            <w:tcW w:w="2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1,269,443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652,695</w:t>
            </w:r>
          </w:p>
        </w:tc>
        <w:tc>
          <w:tcPr>
            <w:tcW w:w="20" w:type="dxa"/>
            <w:vAlign w:val="bottom"/>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679,068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972,345</w:t>
            </w:r>
          </w:p>
        </w:tc>
        <w:tc>
          <w:tcPr>
            <w:tcW w:w="20" w:type="dxa"/>
            <w:vAlign w:val="bottom"/>
          </w:tcPr>
          <w:p>
            <w:pPr>
              <w:spacing w:after="0"/>
              <w:rPr>
                <w:sz w:val="18"/>
                <w:szCs w:val="18"/>
                <w:color w:val="auto"/>
              </w:rPr>
            </w:pP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951,219</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747,586</w:t>
            </w:r>
          </w:p>
        </w:tc>
        <w:tc>
          <w:tcPr>
            <w:tcW w:w="20" w:type="dxa"/>
            <w:vAlign w:val="bottom"/>
          </w:tcPr>
          <w:p>
            <w:pPr>
              <w:spacing w:after="0"/>
              <w:rPr>
                <w:sz w:val="19"/>
                <w:szCs w:val="19"/>
                <w:color w:val="auto"/>
              </w:rPr>
            </w:pPr>
          </w:p>
        </w:tc>
      </w:tr>
      <w:tr>
        <w:trPr>
          <w:trHeight w:val="21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36,563,849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37,315,354</w:t>
            </w:r>
          </w:p>
        </w:tc>
        <w:tc>
          <w:tcPr>
            <w:tcW w:w="20" w:type="dxa"/>
            <w:vAlign w:val="bottom"/>
          </w:tcPr>
          <w:p>
            <w:pPr>
              <w:spacing w:after="0"/>
              <w:rPr>
                <w:sz w:val="18"/>
                <w:szCs w:val="18"/>
                <w:color w:val="auto"/>
              </w:rPr>
            </w:pP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 for deferred tax assets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(36,563,849)</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(37,315,354)</w:t>
            </w:r>
          </w:p>
        </w:tc>
        <w:tc>
          <w:tcPr>
            <w:tcW w:w="20" w:type="dxa"/>
            <w:vAlign w:val="bottom"/>
          </w:tcPr>
          <w:p>
            <w:pPr>
              <w:spacing w:after="0"/>
              <w:rPr>
                <w:sz w:val="19"/>
                <w:szCs w:val="19"/>
                <w:color w:val="auto"/>
              </w:rPr>
            </w:pP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2017, the Company had federal and state Net Operating Losses (“NOLs”) of $125.3 million and $201.5 million, respectively, as well as federal research and development tax credit carryforwards of approximately $4.5 million. The NOLs will begin to expire at various dates beginning in 2027, if not limited by triggering events prior to such time. Under the provisions of the Internal Revenue Code, changes in our ownership, in certain circumstances, will limit the amount of federal NOLs that can be utilized annually in the future to offset taxable income. In particular, section 382 of the Internal Revenue Code imposes limitations on a company’s ability to use NOLs upon certain changes in ownership. If the Company is limited in its ability to use its NOLs in future years in which it has taxable income, then the Company will pay more taxes than if it were otherwise able to fully utilize its NOLs. The Company may experience ownership changes in the future as a result of subsequent shifts in ownership of the Company’s capital stock that the Company cannot predict or control that could result in further limitations being placed on the Company’s ability to utilize its federal NOLs.</w:t>
      </w:r>
    </w:p>
    <w:p>
      <w:pPr>
        <w:spacing w:after="0" w:line="18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 valuation allowance, if needed, reduces deferred tax assets to the amount expected to be realized. When determining the amount of net deferred tax assets that are more likely than not to be realized, the Company assesses all available positive and negative evidence. This evidence includes, but is not limited to, prior earnings history, expected future earnings, carry-back and carry-forward periods and the feasibility of ongoing tax strategies that could potentially enhance the likelihood of the realization of a deferred tax asset. The weight given to the positive and negative evidence is commensurate with the extent the evidence may be objectively verified. As such, it is generally difficult for positive evidence regarding projected future taxable income exclusive of reversing taxable temporary differences to outweigh objective negative evidence of recent financial reporting losses. Based on these criteria and the relative weighting of both the positive and negative evidence available, management continues to maintain a full valuation allowance against its net deferred tax assets.</w:t>
      </w:r>
    </w:p>
    <w:p>
      <w:pPr>
        <w:spacing w:after="0" w:line="185"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On December 22, 2017, the U.S. Government enacted comprehensive tax legislation commonly referred to as the Tax Cuts and Jobs Act (the “TCJA”). The TCJA makes broad changes to the U.S. tax code, including, but not limited to, (1) reducing the U.S federal corporate tax rate from 35% to 21%; (2) eliminating the corporate alternative minimum tax; (3) creating a new limitation on deductible interest expense; (4) creating the base erosion and anti-abuse tax, a new minimum tax; (5) limitation on the deductibility of certain executive compensation; (6) enhancing the option to claim accelerated depreciation deductions on qualified property, and (7) changing the rules related to uses and limitations of NOLs in tax years beginning after December 31, 2017.</w:t>
      </w:r>
    </w:p>
    <w:p>
      <w:pPr>
        <w:spacing w:after="0" w:line="18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TCJA reduces the corporate tax rate to 21%, effective January 1, 2018. The accounting for this portion of the TCJA has caused a reduction to the net deferred tax assets before valuation allowance of $17.3 million for the year ended December 31, 2017. However, as discussed above, the Company maintains a full valuation allowance against its deferred tax assets. As a result, the $17.3 million reduction to the Company’s deferred tax assets is offset by a corresponding $17.3 million reduction in the Company’s valuation allowance, resulting in no net impact to the Company’s tax provision.</w:t>
      </w:r>
    </w:p>
    <w:p>
      <w:pPr>
        <w:spacing w:after="0" w:line="180"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The Company has not completed its determination of the accounting implications of the TCJA on its tax accruals. However, the Company has estimated the effects of the TCJA as described above as of December 31, 2017, which is primarily comprised of the re-measurement of federal net deferred tax assets resulting from the permanent reduction in the U.S. statutory corporate tax rate to 21% from 35%. As the Company completes its analysis of the TCJA, collects and prepares necessary data and interprets any additional guidance issued by the U.S. Treasury Department, the IRS, and other standard-setting bodies, it may make adjustments to the provisional amounts recorded as of December 31, 2017. However, those adjustments are not anticipated to have a material impact on the Company’s tax provision for the year ended December 31, 2017.</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95" w:name="page96"/>
    <w:bookmarkEnd w:id="95"/>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a tax benefit from any uncertain tax positions only if they are more likely than not to be sustained upon examination based on the technical merits of the position. The amount of the accrual for which an exposure exists is measured as the largest amount of benefit determined on a cumulative probability basis that the Company believes is more likely than not to be realized upon ultimate settlement of the position. The Company does not have any unrecognized tax benefits as of December 31, 2017, and does not anticipate a significant change in unrecognized tax benefits during the next 12 months.</w:t>
      </w:r>
    </w:p>
    <w:p>
      <w:pPr>
        <w:spacing w:after="0" w:line="180" w:lineRule="exact"/>
        <w:rPr>
          <w:sz w:val="20"/>
          <w:szCs w:val="20"/>
          <w:color w:val="auto"/>
        </w:rPr>
      </w:pPr>
    </w:p>
    <w:p>
      <w:pPr>
        <w:ind w:left="540" w:hanging="532"/>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is engaged in the manufacture, marketing and development of specialty plasma-derived biologics. The Company’s operating segments reflect the consummation of the Biotest Transaction on June 6, 2017 (see Notes 1 and 3), and the nature of its operations subsequent to the close of the transaction. The Company’s ADMA BioManufacturing segment reflects the Company’s immune globulin manufacturing and development operations in Florida, acquired on June 6, 2017 (see Note 3). The Plasma Collection Centers segment consists of two FDA-licensed source plasma collection facilities located in Georgia, with a third collection center that opened in December 2017 for which a BLA is pending.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8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5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ADMA</w:t>
            </w:r>
          </w:p>
        </w:tc>
        <w:tc>
          <w:tcPr>
            <w:tcW w:w="150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BioManufacturing</w:t>
            </w:r>
          </w:p>
        </w:tc>
        <w:tc>
          <w:tcPr>
            <w:tcW w:w="2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10,980,987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11,636,739</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142,834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22,760,560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21,862,140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7,302,181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29,164,321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(10,881,153)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4,334,558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142,834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(6,403,761)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(19,801,455)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(2,169,192)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(17,339,349)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(39,309,996)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(537,235)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(3,904,859)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(4,448,979)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(20,338,690)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(21,244,208)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(43,758,975)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747,402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1,913,663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2,676,328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2,204,772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436,687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2,692,301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54,004,696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3,933,673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50,080,464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108,018,833</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top w:val="single" w:sz="8" w:color="0000EE"/>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ADMA</w:t>
            </w:r>
          </w:p>
        </w:tc>
        <w:tc>
          <w:tcPr>
            <w:tcW w:w="15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42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10,518,203</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142,834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10,661,037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6,360,761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6,360,761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4,157,442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142,834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4,300,276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(16,040,146)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(17,330,395)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(2,184,756)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(2,184,756)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(18,224,902)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(19,515,151)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56,328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414,464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469,576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2,421,535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21,263,550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23,685,085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EMPLOYEE BENEFITS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sponsors a 401(k) savings plan. Under the plan, employees may make contributions which are eligible for a Company discretionary percentage contribution as defined in the plan and determined by the Board of Directors. The Company recognized $0.5 million and $0.2 million of related compensation expense for the years ended December 31, 2017 and 2016, respectively. Compensation expense for the year ended December 31, 2017 includes expense attributable to ADMA BioManufacturing effective as of June 6, 2017.</w:t>
      </w:r>
    </w:p>
    <w:p>
      <w:pPr>
        <w:spacing w:after="0" w:line="176" w:lineRule="exact"/>
        <w:rPr>
          <w:sz w:val="20"/>
          <w:szCs w:val="20"/>
          <w:color w:val="auto"/>
        </w:rPr>
      </w:pPr>
    </w:p>
    <w:p>
      <w:pPr>
        <w:ind w:left="280" w:hanging="272"/>
        <w:spacing w:after="0"/>
        <w:tabs>
          <w:tab w:leader="none" w:pos="2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SUPPLEMENTAL DISCLOSURE OF CASH FLOW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Supplemental cash flow information for the years ended December 31, 2017 and 2016 is as follows: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4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59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10"/>
        </w:trPr>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24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2,293,590</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1,530,235</w:t>
            </w:r>
          </w:p>
        </w:tc>
        <w:tc>
          <w:tcPr>
            <w:tcW w:w="0" w:type="dxa"/>
            <w:vAlign w:val="bottom"/>
          </w:tcPr>
          <w:p>
            <w:pPr>
              <w:spacing w:after="0"/>
              <w:rPr>
                <w:sz w:val="1"/>
                <w:szCs w:val="1"/>
                <w:color w:val="auto"/>
              </w:rPr>
            </w:pPr>
          </w:p>
        </w:tc>
      </w:tr>
      <w:tr>
        <w:trPr>
          <w:trHeight w:val="197"/>
        </w:trPr>
        <w:tc>
          <w:tcPr>
            <w:tcW w:w="824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24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Assets acquired through the issuance of common stock and liabilities assumed</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60,161,629</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gridSpan w:val="3"/>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Equipment acquired reflected in accounts payable and accrued liabilities</w:t>
            </w: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544,125</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End of term liability for senior notes payable</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CEEFF"/>
            </w:tcBorders>
            <w:gridSpan w:val="3"/>
            <w:vMerge w:val="continue"/>
          </w:tcPr>
          <w:p>
            <w:pPr>
              <w:spacing w:after="0"/>
              <w:rPr>
                <w:sz w:val="20"/>
                <w:szCs w:val="20"/>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2,760,000</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358,000</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gridSpan w:val="3"/>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Warrants issued in connection with notes payable</w:t>
            </w: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614,513</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86,300</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1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CONCENTRATIONS</w:t>
            </w:r>
          </w:p>
        </w:tc>
        <w:tc>
          <w:tcPr>
            <w:tcW w:w="59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40" w:type="dxa"/>
            <w:vAlign w:val="bottom"/>
            <w:vMerge w:val="continue"/>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5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and cash equivalents and accounts receivable. At December 31, 2017, two customers accounted for 79% of the Company’s total accounts receivable. At December 31, 2016, a single customer accounted for 95% of the Company’s total accounts receivable.</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2017, BPC represented 47% of the Company’s consolidated revenues, and another customer represented 31% of the Company’s consolidated revenues. For the year ended December 31, 2016, BPC and another customer represented approximately 82% and 14%, respectively, of the Company’s consolidated revenues.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97" w:name="page98"/>
    <w:bookmarkEnd w:id="97"/>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ind w:left="540" w:hanging="532"/>
        <w:spacing w:after="0"/>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SUBSEQUENT EVENTS</w:t>
      </w:r>
    </w:p>
    <w:p>
      <w:pPr>
        <w:spacing w:after="0" w:line="229" w:lineRule="exact"/>
        <w:rPr>
          <w:sz w:val="20"/>
          <w:szCs w:val="20"/>
          <w:color w:val="auto"/>
        </w:rPr>
      </w:pPr>
    </w:p>
    <w:p>
      <w:pPr>
        <w:ind w:right="440" w:firstLine="693"/>
        <w:spacing w:after="0" w:line="266" w:lineRule="auto"/>
        <w:rPr>
          <w:sz w:val="20"/>
          <w:szCs w:val="20"/>
          <w:color w:val="auto"/>
        </w:rPr>
      </w:pPr>
      <w:r>
        <w:rPr>
          <w:rFonts w:ascii="Times New Roman" w:cs="Times New Roman" w:eastAsia="Times New Roman" w:hAnsi="Times New Roman"/>
          <w:sz w:val="18"/>
          <w:szCs w:val="18"/>
          <w:color w:val="auto"/>
        </w:rPr>
        <w:t>On February 9, 2018, the Board approved grants of options to purchase an aggregate of 650,000 shares of the Company’s common stock to the Company’s executive officers. The options were granted under the 2014 Plan (see Note 8), and the estimated fair value of the options granted was approximately $1.4 million.</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7200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1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38048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43" w:lineRule="exact"/>
        <w:rPr>
          <w:sz w:val="20"/>
          <w:szCs w:val="20"/>
          <w:color w:val="auto"/>
        </w:rPr>
      </w:pPr>
    </w:p>
    <w:p>
      <w:pPr>
        <w:ind w:right="140"/>
        <w:spacing w:after="0" w:line="266" w:lineRule="auto"/>
        <w:rPr>
          <w:rFonts w:ascii="Times New Roman" w:cs="Times New Roman" w:eastAsia="Times New Roman" w:hAnsi="Times New Roman"/>
          <w:sz w:val="18"/>
          <w:szCs w:val="18"/>
          <w:u w:val="single" w:color="auto"/>
          <w:color w:val="0000EE"/>
        </w:rPr>
      </w:pPr>
      <w:hyperlink r:id="rId136">
        <w:r>
          <w:rPr>
            <w:rFonts w:ascii="Times New Roman" w:cs="Times New Roman" w:eastAsia="Times New Roman" w:hAnsi="Times New Roman"/>
            <w:sz w:val="18"/>
            <w:szCs w:val="18"/>
            <w:u w:val="single" w:color="auto"/>
            <w:color w:val="0000EE"/>
          </w:rPr>
          <w:t>Master Purchase and Sale Agreement, dated as of January 21, 2017, by and among Biotest Pharmaceuticals Corporation, ADMA</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BioManufacturing, LLC, ADMA Biologics, Inc., Biotest AG and Biotest US Corporation (incorporated herein by reference to Exhibit 2.1</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to the Company’s Current Report on Form 8-K, filed with the SEC on January 23, 2017).</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380"/>
        <w:spacing w:after="0" w:line="282" w:lineRule="auto"/>
        <w:rPr>
          <w:rFonts w:ascii="Times New Roman" w:cs="Times New Roman" w:eastAsia="Times New Roman" w:hAnsi="Times New Roman"/>
          <w:sz w:val="18"/>
          <w:szCs w:val="18"/>
          <w:u w:val="single" w:color="auto"/>
          <w:color w:val="0000EE"/>
        </w:rPr>
      </w:pPr>
      <w:hyperlink r:id="rId138">
        <w:r>
          <w:rPr>
            <w:rFonts w:ascii="Times New Roman" w:cs="Times New Roman" w:eastAsia="Times New Roman" w:hAnsi="Times New Roman"/>
            <w:sz w:val="18"/>
            <w:szCs w:val="18"/>
            <w:u w:val="single" w:color="auto"/>
            <w:color w:val="0000EE"/>
          </w:rPr>
          <w:t>Amended and Restated Certificate of Incorporation of the Company (incorporated herein by reference to Exhibit 3.1 to the Company’s</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Current Report on Form 8-K filed on June 12,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120"/>
        <w:spacing w:after="0" w:line="282" w:lineRule="auto"/>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Amended and Restated Bylaws (incorporated herein by reference to Exhibit 3.1 to the Company’s Current Report on Form 8-K, filed with</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the SEC on October 7,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440"/>
        <w:spacing w:after="0" w:line="282" w:lineRule="auto"/>
        <w:rPr>
          <w:rFonts w:ascii="Times New Roman" w:cs="Times New Roman" w:eastAsia="Times New Roman" w:hAnsi="Times New Roman"/>
          <w:sz w:val="18"/>
          <w:szCs w:val="18"/>
          <w:u w:val="single" w:color="auto"/>
          <w:color w:val="0000EE"/>
        </w:rPr>
      </w:pPr>
      <w:hyperlink r:id="rId142">
        <w:r>
          <w:rPr>
            <w:rFonts w:ascii="Times New Roman" w:cs="Times New Roman" w:eastAsia="Times New Roman" w:hAnsi="Times New Roman"/>
            <w:sz w:val="18"/>
            <w:szCs w:val="18"/>
            <w:u w:val="single" w:color="auto"/>
            <w:color w:val="0000EE"/>
          </w:rPr>
          <w:t>Specimen Common Stock Certificate (incorporated herein by reference to Exhibit 4.1 to Amendment No. 1 to the Company’s Current</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Report on Form 8-K/A, filed with the SEC on March 29,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640"/>
        <w:spacing w:after="0" w:line="282" w:lineRule="auto"/>
        <w:rPr>
          <w:rFonts w:ascii="Times New Roman" w:cs="Times New Roman" w:eastAsia="Times New Roman" w:hAnsi="Times New Roman"/>
          <w:sz w:val="18"/>
          <w:szCs w:val="18"/>
          <w:u w:val="single" w:color="auto"/>
          <w:color w:val="0000EE"/>
        </w:rPr>
      </w:pPr>
      <w:hyperlink r:id="rId144">
        <w:r>
          <w:rPr>
            <w:rFonts w:ascii="Times New Roman" w:cs="Times New Roman" w:eastAsia="Times New Roman" w:hAnsi="Times New Roman"/>
            <w:sz w:val="18"/>
            <w:szCs w:val="18"/>
            <w:u w:val="single" w:color="auto"/>
            <w:color w:val="0000EE"/>
          </w:rPr>
          <w:t>Form of Warrant Agreement with Hercules Technology Growth Capital, Inc. (incorporated herein by reference to Exhibit 4.3 to the</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Company’s Registration Statement on Form S-1, filed with the SEC on February 11,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40"/>
        <w:spacing w:after="0" w:line="282" w:lineRule="auto"/>
        <w:rPr>
          <w:rFonts w:ascii="Times New Roman" w:cs="Times New Roman" w:eastAsia="Times New Roman" w:hAnsi="Times New Roman"/>
          <w:sz w:val="18"/>
          <w:szCs w:val="18"/>
          <w:u w:val="single" w:color="auto"/>
          <w:color w:val="0000EE"/>
        </w:rPr>
      </w:pPr>
      <w:hyperlink r:id="rId146">
        <w:r>
          <w:rPr>
            <w:rFonts w:ascii="Times New Roman" w:cs="Times New Roman" w:eastAsia="Times New Roman" w:hAnsi="Times New Roman"/>
            <w:sz w:val="18"/>
            <w:szCs w:val="18"/>
            <w:u w:val="single" w:color="auto"/>
            <w:color w:val="0000EE"/>
          </w:rPr>
          <w:t>Form of Warrant Agreement with Oxford Finance LLC (incorporated herein by reference to Exhibit 4.6 to the Company’s Quarterly Report</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on Form 10-Q, filed with the SEC on May 13,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440"/>
        <w:spacing w:after="0" w:line="313" w:lineRule="auto"/>
        <w:rPr>
          <w:rFonts w:ascii="Times New Roman" w:cs="Times New Roman" w:eastAsia="Times New Roman" w:hAnsi="Times New Roman"/>
          <w:sz w:val="17"/>
          <w:szCs w:val="17"/>
          <w:u w:val="single" w:color="auto"/>
          <w:color w:val="0000EE"/>
        </w:rPr>
      </w:pPr>
      <w:hyperlink r:id="rId148">
        <w:r>
          <w:rPr>
            <w:rFonts w:ascii="Times New Roman" w:cs="Times New Roman" w:eastAsia="Times New Roman" w:hAnsi="Times New Roman"/>
            <w:sz w:val="17"/>
            <w:szCs w:val="17"/>
            <w:u w:val="single" w:color="auto"/>
            <w:color w:val="0000EE"/>
          </w:rPr>
          <w:t>Warrant to Purchase Stock, dated October 10, 2017, issued by the Company to Marathon Healthcare Finance Fund, L.P. (incorporated</w:t>
        </w:r>
      </w:hyperlink>
      <w:r>
        <w:rPr>
          <w:rFonts w:ascii="Times New Roman" w:cs="Times New Roman" w:eastAsia="Times New Roman" w:hAnsi="Times New Roman"/>
          <w:sz w:val="17"/>
          <w:szCs w:val="17"/>
          <w:u w:val="single" w:color="auto"/>
          <w:color w:val="0000EE"/>
        </w:rPr>
        <w:t xml:space="preserve"> </w:t>
      </w:r>
      <w:hyperlink r:id="rId148">
        <w:r>
          <w:rPr>
            <w:rFonts w:ascii="Times New Roman" w:cs="Times New Roman" w:eastAsia="Times New Roman" w:hAnsi="Times New Roman"/>
            <w:sz w:val="17"/>
            <w:szCs w:val="17"/>
            <w:u w:val="single" w:color="auto"/>
            <w:color w:val="0000EE"/>
          </w:rPr>
          <w:t>herein by reference to Exhibit 4.2 to the Company’s Current Report on Form 8-K, filed with the SEC on October 11,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638048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72" w:lineRule="exact"/>
        <w:rPr>
          <w:sz w:val="20"/>
          <w:szCs w:val="20"/>
          <w:color w:val="auto"/>
        </w:rPr>
      </w:pPr>
    </w:p>
    <w:p>
      <w:pPr>
        <w:ind w:right="360"/>
        <w:spacing w:after="0" w:line="282" w:lineRule="auto"/>
        <w:rPr>
          <w:rFonts w:ascii="Times New Roman" w:cs="Times New Roman" w:eastAsia="Times New Roman" w:hAnsi="Times New Roman"/>
          <w:sz w:val="18"/>
          <w:szCs w:val="18"/>
          <w:u w:val="single" w:color="auto"/>
          <w:color w:val="0000EE"/>
        </w:rPr>
      </w:pPr>
      <w:hyperlink r:id="rId150">
        <w:r>
          <w:rPr>
            <w:rFonts w:ascii="Times New Roman" w:cs="Times New Roman" w:eastAsia="Times New Roman" w:hAnsi="Times New Roman"/>
            <w:sz w:val="18"/>
            <w:szCs w:val="18"/>
            <w:u w:val="single" w:color="auto"/>
            <w:color w:val="0000EE"/>
          </w:rPr>
          <w:t>Form of Secured Term Loan Promissory Note issued to Hercules Technology Growth Capital, Inc. (incorporated herein by reference to</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Exhibit 4.4 to the Company’s Registration Statement on Form S-1, filed with the SEC on February 11,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420"/>
        <w:spacing w:after="0" w:line="282" w:lineRule="auto"/>
        <w:rPr>
          <w:rFonts w:ascii="Times New Roman" w:cs="Times New Roman" w:eastAsia="Times New Roman" w:hAnsi="Times New Roman"/>
          <w:sz w:val="18"/>
          <w:szCs w:val="18"/>
          <w:u w:val="single" w:color="auto"/>
          <w:color w:val="0000EE"/>
        </w:rPr>
      </w:pPr>
      <w:hyperlink r:id="rId152">
        <w:r>
          <w:rPr>
            <w:rFonts w:ascii="Times New Roman" w:cs="Times New Roman" w:eastAsia="Times New Roman" w:hAnsi="Times New Roman"/>
            <w:sz w:val="18"/>
            <w:szCs w:val="18"/>
            <w:u w:val="single" w:color="auto"/>
            <w:color w:val="0000EE"/>
          </w:rPr>
          <w:t>Form of Secured Term B Loan Promissory Note issued to Oxford Finance LLC (incorporated herein by reference to Exhibit 4.7 to the</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Company’s Quarterly Report on Form 10-Q, filed with the SEC on May 13,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120"/>
        <w:spacing w:after="0" w:line="282" w:lineRule="auto"/>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Tranche One Term Note, dated October 10, 2017, issued by the Company to Marathon Healthcare Finance Fund, L.P. (incorporated herein</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by reference to Exhibit 4.1 to the Company’s Current Report on Form 8-K, filed with the SEC on October 11,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300"/>
        <w:spacing w:after="0" w:line="282" w:lineRule="auto"/>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2007 Employee Stock Option Plan, as amended by Amendment No. 3 (incorporated herein by reference to Exhibit A to the Information</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Statement on Schedule 14C, filed with the SEC on October 29,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220"/>
        <w:spacing w:after="0" w:line="282" w:lineRule="auto"/>
        <w:rPr>
          <w:rFonts w:ascii="Times New Roman" w:cs="Times New Roman" w:eastAsia="Times New Roman" w:hAnsi="Times New Roman"/>
          <w:sz w:val="18"/>
          <w:szCs w:val="18"/>
          <w:u w:val="single" w:color="auto"/>
          <w:color w:val="0000EE"/>
        </w:rPr>
      </w:pPr>
      <w:hyperlink r:id="rId158">
        <w:r>
          <w:rPr>
            <w:rFonts w:ascii="Times New Roman" w:cs="Times New Roman" w:eastAsia="Times New Roman" w:hAnsi="Times New Roman"/>
            <w:sz w:val="18"/>
            <w:szCs w:val="18"/>
            <w:u w:val="single" w:color="auto"/>
            <w:color w:val="0000EE"/>
          </w:rPr>
          <w:t>Amended and Restated ADMA Biologics, Inc. 2014 Omnibus Incentive Compensation Plan (incorporated herein by reference to Exhibit</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10.1 to the Company’s Registration Statement on Form S-8 filed on August 18,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100"/>
        <w:spacing w:after="0" w:line="282" w:lineRule="auto"/>
        <w:rPr>
          <w:rFonts w:ascii="Times New Roman" w:cs="Times New Roman" w:eastAsia="Times New Roman" w:hAnsi="Times New Roman"/>
          <w:sz w:val="18"/>
          <w:szCs w:val="18"/>
          <w:u w:val="single" w:color="auto"/>
          <w:color w:val="0000EE"/>
        </w:rPr>
      </w:pPr>
      <w:hyperlink r:id="rId160">
        <w:r>
          <w:rPr>
            <w:rFonts w:ascii="Times New Roman" w:cs="Times New Roman" w:eastAsia="Times New Roman" w:hAnsi="Times New Roman"/>
            <w:sz w:val="18"/>
            <w:szCs w:val="18"/>
            <w:u w:val="single" w:color="auto"/>
            <w:color w:val="0000EE"/>
          </w:rPr>
          <w:t>Amended and Restated Employment Agreement, dated January 28, 2016, by and between ADMA Biologics, Inc. and Adam Grossman</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(incorporated herein by reference to Exhibit 10.2 to the Company’s Annual Report on Form 10-K, filed with the SEC on March 23,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6380480" cy="1714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371475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840" w:space="460"/>
            <w:col w:w="10080"/>
          </w:cols>
          <w:pgMar w:left="280" w:top="225" w:right="239" w:bottom="1440" w:gutter="0" w:footer="0" w:header="0"/>
        </w:sectPr>
      </w:pPr>
    </w:p>
    <w:bookmarkStart w:id="99" w:name="page100"/>
    <w:bookmarkEnd w:id="99"/>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566420</wp:posOffset>
            </wp:positionV>
            <wp:extent cx="7200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436245</wp:posOffset>
            </wp:positionV>
            <wp:extent cx="7200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566420</wp:posOffset>
            </wp:positionV>
            <wp:extent cx="7200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70" w:lineRule="exact"/>
        <w:rPr>
          <w:sz w:val="20"/>
          <w:szCs w:val="20"/>
          <w:color w:val="auto"/>
        </w:rPr>
      </w:pPr>
    </w:p>
    <w:p>
      <w:pPr>
        <w:ind w:right="100"/>
        <w:spacing w:after="0" w:line="282" w:lineRule="auto"/>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Amended and Restated Employment Agreement, dated January 28, 2016, by and between ADMA Biologics, Inc. and Brian Lenz</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(incorporated herein by reference to Exhibit 10.8 to the Company’s Annual Report on Form 10-K, filed with the SEC on March 23,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jc w:val="both"/>
        <w:ind w:right="80"/>
        <w:spacing w:after="0" w:line="266" w:lineRule="auto"/>
        <w:rPr>
          <w:rFonts w:ascii="Times New Roman" w:cs="Times New Roman" w:eastAsia="Times New Roman" w:hAnsi="Times New Roman"/>
          <w:sz w:val="18"/>
          <w:szCs w:val="18"/>
          <w:u w:val="single" w:color="auto"/>
          <w:color w:val="0000EE"/>
        </w:rPr>
      </w:pPr>
      <w:hyperlink r:id="rId176">
        <w:r>
          <w:rPr>
            <w:rFonts w:ascii="Times New Roman" w:cs="Times New Roman" w:eastAsia="Times New Roman" w:hAnsi="Times New Roman"/>
            <w:sz w:val="18"/>
            <w:szCs w:val="18"/>
            <w:u w:val="single" w:color="auto"/>
            <w:color w:val="0000EE"/>
          </w:rPr>
          <w:t>Amended and Restated Employment Agreement, dated January 28, 2016, by and between ADMA Biologics, Inc. and James Mond, M.D.,</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Ph.D. (incorporated herein by reference to Exhibit 10.11 to the Company’s Annual Report on Form 10-K, filed with the SEC on March 23,</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2016).</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80"/>
        <w:spacing w:after="0" w:line="261" w:lineRule="auto"/>
        <w:rPr>
          <w:rFonts w:ascii="Times New Roman" w:cs="Times New Roman" w:eastAsia="Times New Roman" w:hAnsi="Times New Roman"/>
          <w:sz w:val="18"/>
          <w:szCs w:val="18"/>
          <w:u w:val="single" w:color="auto"/>
          <w:color w:val="0000EE"/>
        </w:rPr>
      </w:pPr>
      <w:hyperlink r:id="rId178">
        <w:r>
          <w:rPr>
            <w:rFonts w:ascii="Times New Roman" w:cs="Times New Roman" w:eastAsia="Times New Roman" w:hAnsi="Times New Roman"/>
            <w:sz w:val="18"/>
            <w:szCs w:val="18"/>
            <w:u w:val="single" w:color="auto"/>
            <w:color w:val="0000EE"/>
          </w:rPr>
          <w:t>Plasma Purchase Agreement, dated as of November 17, 2011, by and between Biotest Pharmaceuticals Corporation and ADMA Biologics,</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Inc., as amended by First Amendment to Plasma Purchase Agreement, dated as of December 1, 2011, by and between Biotest</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Pharmaceuticals Corporation and ADMA Biologics, Inc. (incorporated herein by reference to Exhibit 10.9 to Amendment No. 3 to the</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Company’s Current Report on Form 8-K/A, filed with the SEC on June 22, 2012).</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638048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4" w:lineRule="exact"/>
        <w:rPr>
          <w:rFonts w:ascii="Times New Roman" w:cs="Times New Roman" w:eastAsia="Times New Roman" w:hAnsi="Times New Roman"/>
          <w:sz w:val="18"/>
          <w:szCs w:val="18"/>
          <w:u w:val="single" w:color="auto"/>
          <w:color w:val="0000EE"/>
        </w:rPr>
      </w:pPr>
    </w:p>
    <w:p>
      <w:pPr>
        <w:jc w:val="both"/>
        <w:ind w:right="80"/>
        <w:spacing w:after="0" w:line="266" w:lineRule="auto"/>
        <w:rPr>
          <w:rFonts w:ascii="Times New Roman" w:cs="Times New Roman" w:eastAsia="Times New Roman" w:hAnsi="Times New Roman"/>
          <w:sz w:val="18"/>
          <w:szCs w:val="18"/>
          <w:u w:val="single" w:color="auto"/>
          <w:color w:val="0000EE"/>
        </w:rPr>
      </w:pPr>
      <w:hyperlink r:id="rId180">
        <w:r>
          <w:rPr>
            <w:rFonts w:ascii="Times New Roman" w:cs="Times New Roman" w:eastAsia="Times New Roman" w:hAnsi="Times New Roman"/>
            <w:sz w:val="18"/>
            <w:szCs w:val="18"/>
            <w:u w:val="single" w:color="auto"/>
            <w:color w:val="0000EE"/>
          </w:rPr>
          <w:t>Second Amendment to Plasma Purchase Agreement, dated as of December 18, 2015, by and between Biotest Pharmaceuticals Corporation</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and ADMA Biologics, Inc. (incorporated herein by reference to Exhibit 10.3.1 to the Company’s Annual Report on Form 10-K, filed with</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the SEC on March 23, 2016).</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jc w:val="both"/>
        <w:ind w:right="280"/>
        <w:spacing w:after="0" w:line="266" w:lineRule="auto"/>
        <w:rPr>
          <w:rFonts w:ascii="Times New Roman" w:cs="Times New Roman" w:eastAsia="Times New Roman" w:hAnsi="Times New Roman"/>
          <w:sz w:val="18"/>
          <w:szCs w:val="18"/>
          <w:u w:val="single" w:color="auto"/>
          <w:color w:val="0000EE"/>
        </w:rPr>
      </w:pPr>
      <w:hyperlink r:id="rId182">
        <w:r>
          <w:rPr>
            <w:rFonts w:ascii="Times New Roman" w:cs="Times New Roman" w:eastAsia="Times New Roman" w:hAnsi="Times New Roman"/>
            <w:sz w:val="18"/>
            <w:szCs w:val="18"/>
            <w:u w:val="single" w:color="auto"/>
            <w:color w:val="0000EE"/>
          </w:rPr>
          <w:t>Third Amendment to Plasma Purchase Agreement, dated as of April 8, 2016, by and between Biotest Pharmaceuticals Corporation and</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ADMA Biologics, Inc. (incorporated herein by reference to Exhibit 10.3.2 to the Company’s Quarterly Report on Form 10-Q, filed with</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the SEC on May 13, 2016).</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140"/>
        <w:spacing w:after="0" w:line="266" w:lineRule="auto"/>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Fourth Amendment to Plasma Purchase Agreement, dated as of June 6, 2017, by and between Biotest Pharmaceuticals Corporation and</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ADMA Biologics, Inc. (incorporated herein by reference to Exhibit 10.9 to the Company’s Quarterly Report on Form 10-Q, filed with the</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SEC on August 11, 2017).</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40"/>
        <w:spacing w:after="0" w:line="266" w:lineRule="auto"/>
        <w:rPr>
          <w:rFonts w:ascii="Times New Roman" w:cs="Times New Roman" w:eastAsia="Times New Roman" w:hAnsi="Times New Roman"/>
          <w:sz w:val="18"/>
          <w:szCs w:val="18"/>
          <w:u w:val="single" w:color="auto"/>
          <w:color w:val="0000EE"/>
        </w:rPr>
      </w:pPr>
      <w:hyperlink r:id="rId186">
        <w:r>
          <w:rPr>
            <w:rFonts w:ascii="Times New Roman" w:cs="Times New Roman" w:eastAsia="Times New Roman" w:hAnsi="Times New Roman"/>
            <w:sz w:val="18"/>
            <w:szCs w:val="18"/>
            <w:u w:val="single" w:color="auto"/>
            <w:color w:val="0000EE"/>
          </w:rPr>
          <w:t>Amended and Restated Plasma Supply Agreement, dated as of March 23, 2016, by and between ADMA Biologics, Inc. and Biotest</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Pharmaceuticals Corporation (incorporated herein by reference to Exhibit 10.10 to the Company’s Annual Report on Form 10-K, filed with</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the SEC on March 23, 2016).</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320"/>
        <w:spacing w:after="0" w:line="266" w:lineRule="auto"/>
        <w:rPr>
          <w:rFonts w:ascii="Times New Roman" w:cs="Times New Roman" w:eastAsia="Times New Roman" w:hAnsi="Times New Roman"/>
          <w:sz w:val="18"/>
          <w:szCs w:val="18"/>
          <w:u w:val="single" w:color="auto"/>
          <w:color w:val="0000EE"/>
        </w:rPr>
      </w:pPr>
      <w:hyperlink r:id="rId188">
        <w:r>
          <w:rPr>
            <w:rFonts w:ascii="Times New Roman" w:cs="Times New Roman" w:eastAsia="Times New Roman" w:hAnsi="Times New Roman"/>
            <w:sz w:val="18"/>
            <w:szCs w:val="18"/>
            <w:u w:val="single" w:color="auto"/>
            <w:color w:val="0000EE"/>
          </w:rPr>
          <w:t>Plasma Supply Agreement, dated as of June 6, 2017, by and between ADMA BioManufacturing, LLC and Biotest Pharmaceuticals</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Corporation (incorporated herein by reference to Exhibit 10.5 to the Company’s Quarterly Report on Form 10-Q, filed with the SEC on</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August 11, 2017).</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320"/>
        <w:spacing w:after="0" w:line="266" w:lineRule="auto"/>
        <w:rPr>
          <w:rFonts w:ascii="Times New Roman" w:cs="Times New Roman" w:eastAsia="Times New Roman" w:hAnsi="Times New Roman"/>
          <w:sz w:val="18"/>
          <w:szCs w:val="18"/>
          <w:u w:val="single" w:color="auto"/>
          <w:color w:val="0000EE"/>
        </w:rPr>
      </w:pPr>
      <w:hyperlink r:id="rId190">
        <w:r>
          <w:rPr>
            <w:rFonts w:ascii="Times New Roman" w:cs="Times New Roman" w:eastAsia="Times New Roman" w:hAnsi="Times New Roman"/>
            <w:sz w:val="18"/>
            <w:szCs w:val="18"/>
            <w:u w:val="single" w:color="auto"/>
            <w:color w:val="0000EE"/>
          </w:rPr>
          <w:t>Plasma Purchase Agreement, dated as of June 6, 2017, by and between ADMA BioManufacturing, LLC and Biotest Pharmaceuticals</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Corporation (incorporated herein by reference to Exhibit 10.6 to the Company’s Quarterly Report on Form 10-Q, filed with the SEC on</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August 11, 2017).</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jc w:val="both"/>
        <w:ind w:right="240"/>
        <w:spacing w:after="0" w:line="266" w:lineRule="auto"/>
        <w:rPr>
          <w:rFonts w:ascii="Times New Roman" w:cs="Times New Roman" w:eastAsia="Times New Roman" w:hAnsi="Times New Roman"/>
          <w:sz w:val="18"/>
          <w:szCs w:val="18"/>
          <w:u w:val="single" w:color="auto"/>
          <w:color w:val="0000EE"/>
        </w:rPr>
      </w:pPr>
      <w:hyperlink r:id="rId192">
        <w:r>
          <w:rPr>
            <w:rFonts w:ascii="Times New Roman" w:cs="Times New Roman" w:eastAsia="Times New Roman" w:hAnsi="Times New Roman"/>
            <w:sz w:val="18"/>
            <w:szCs w:val="18"/>
            <w:u w:val="single" w:color="auto"/>
            <w:color w:val="0000EE"/>
          </w:rPr>
          <w:t>Amended and Restated Agreement for Services, effective as of January 1, 2016, by and between ADMA Biologics, LLC and Areth LLC</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(incorporated herein by reference to Exhibit 10.18 to the Company’s Quarterly Report on Form 10-Q, filed with the SEC on August 12,</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2016).</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80"/>
        <w:spacing w:after="0" w:line="261" w:lineRule="auto"/>
        <w:rPr>
          <w:rFonts w:ascii="Times New Roman" w:cs="Times New Roman" w:eastAsia="Times New Roman" w:hAnsi="Times New Roman"/>
          <w:sz w:val="18"/>
          <w:szCs w:val="18"/>
          <w:u w:val="single" w:color="auto"/>
          <w:color w:val="0000EE"/>
        </w:rPr>
      </w:pPr>
      <w:hyperlink r:id="rId194">
        <w:r>
          <w:rPr>
            <w:rFonts w:ascii="Times New Roman" w:cs="Times New Roman" w:eastAsia="Times New Roman" w:hAnsi="Times New Roman"/>
            <w:sz w:val="18"/>
            <w:szCs w:val="18"/>
            <w:u w:val="single" w:color="auto"/>
            <w:color w:val="0000EE"/>
          </w:rPr>
          <w:t>Agreement of Lease, effective June 1, 2008 and confirmed on November 13, 2008, by and among ADMA Bio Centers Georgia Inc.,</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ADMA Biologics, Inc. and C1VF I-GA1W15-W23, LLC (DCT Holdings), as amended on January 20, 2011, May 24, 2012 and January 1,</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2014 (incorporated herein by reference to Exhibit 10.11 to the Company’s Current Report on Form 8-K, filed with the SEC on February</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13, 2012).</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638048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6380480" cy="1714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383540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580" w:space="720"/>
            <w:col w:w="10080"/>
          </w:cols>
          <w:pgMar w:left="280" w:top="225" w:right="239" w:bottom="1440" w:gutter="0" w:footer="0" w:header="0"/>
        </w:sectPr>
      </w:pPr>
    </w:p>
    <w:bookmarkStart w:id="100" w:name="page101"/>
    <w:bookmarkEnd w:id="100"/>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70" w:lineRule="exact"/>
        <w:rPr>
          <w:sz w:val="20"/>
          <w:szCs w:val="20"/>
          <w:color w:val="auto"/>
        </w:rPr>
      </w:pPr>
    </w:p>
    <w:p>
      <w:pPr>
        <w:jc w:val="both"/>
        <w:ind w:right="480"/>
        <w:spacing w:after="0" w:line="266" w:lineRule="auto"/>
        <w:rPr>
          <w:rFonts w:ascii="Times New Roman" w:cs="Times New Roman" w:eastAsia="Times New Roman" w:hAnsi="Times New Roman"/>
          <w:sz w:val="18"/>
          <w:szCs w:val="18"/>
          <w:u w:val="single" w:color="auto"/>
          <w:color w:val="0000EE"/>
        </w:rPr>
      </w:pPr>
      <w:hyperlink r:id="rId209">
        <w:r>
          <w:rPr>
            <w:rFonts w:ascii="Times New Roman" w:cs="Times New Roman" w:eastAsia="Times New Roman" w:hAnsi="Times New Roman"/>
            <w:sz w:val="18"/>
            <w:szCs w:val="18"/>
            <w:u w:val="single" w:color="auto"/>
            <w:color w:val="0000EE"/>
          </w:rPr>
          <w:t>Lease, dated as of January 20, 2014, by and between ADMA Bio Centers Georgia Inc. and U.S. Bank National Association, effective</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February 1, 2014, as amended on December 18, 2014 and July 9, 2015 (incorporated by reference to Exhibit 10.12 to the Company’s</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Annual Report on Form 10-K, filed with the SEC on March 28, 2014).</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340"/>
        <w:spacing w:after="0" w:line="266" w:lineRule="auto"/>
        <w:rPr>
          <w:rFonts w:ascii="Times New Roman" w:cs="Times New Roman" w:eastAsia="Times New Roman" w:hAnsi="Times New Roman"/>
          <w:sz w:val="18"/>
          <w:szCs w:val="18"/>
          <w:u w:val="single" w:color="auto"/>
          <w:color w:val="0000EE"/>
        </w:rPr>
      </w:pPr>
      <w:hyperlink r:id="rId211">
        <w:r>
          <w:rPr>
            <w:rFonts w:ascii="Times New Roman" w:cs="Times New Roman" w:eastAsia="Times New Roman" w:hAnsi="Times New Roman"/>
            <w:sz w:val="18"/>
            <w:szCs w:val="18"/>
            <w:u w:val="single" w:color="auto"/>
            <w:color w:val="0000EE"/>
          </w:rPr>
          <w:t>Lease, effective as of February 17, 2017, by and between Home Center Properties, LLC and ADMA Bio Centers Georgia Inc.</w:t>
        </w:r>
      </w:hyperlink>
      <w:r>
        <w:rPr>
          <w:rFonts w:ascii="Times New Roman" w:cs="Times New Roman" w:eastAsia="Times New Roman" w:hAnsi="Times New Roman"/>
          <w:sz w:val="18"/>
          <w:szCs w:val="18"/>
          <w:u w:val="single" w:color="auto"/>
          <w:color w:val="0000EE"/>
        </w:rPr>
        <w:t xml:space="preserve"> </w:t>
      </w:r>
      <w:hyperlink r:id="rId211">
        <w:r>
          <w:rPr>
            <w:rFonts w:ascii="Times New Roman" w:cs="Times New Roman" w:eastAsia="Times New Roman" w:hAnsi="Times New Roman"/>
            <w:sz w:val="18"/>
            <w:szCs w:val="18"/>
            <w:u w:val="single" w:color="auto"/>
            <w:color w:val="0000EE"/>
          </w:rPr>
          <w:t>(incorporated herein by reference to Exhibit 10.22 to the Company’s Annual Report on Form 10-K, filed with the SEC on February 24,</w:t>
        </w:r>
      </w:hyperlink>
      <w:r>
        <w:rPr>
          <w:rFonts w:ascii="Times New Roman" w:cs="Times New Roman" w:eastAsia="Times New Roman" w:hAnsi="Times New Roman"/>
          <w:sz w:val="18"/>
          <w:szCs w:val="18"/>
          <w:u w:val="single" w:color="auto"/>
          <w:color w:val="0000EE"/>
        </w:rPr>
        <w:t xml:space="preserve"> </w:t>
      </w:r>
      <w:hyperlink r:id="rId211">
        <w:r>
          <w:rPr>
            <w:rFonts w:ascii="Times New Roman" w:cs="Times New Roman" w:eastAsia="Times New Roman" w:hAnsi="Times New Roman"/>
            <w:sz w:val="18"/>
            <w:szCs w:val="18"/>
            <w:u w:val="single" w:color="auto"/>
            <w:color w:val="0000EE"/>
          </w:rPr>
          <w:t>2017).</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100"/>
        <w:spacing w:after="0" w:line="266" w:lineRule="auto"/>
        <w:rPr>
          <w:rFonts w:ascii="Times New Roman" w:cs="Times New Roman" w:eastAsia="Times New Roman" w:hAnsi="Times New Roman"/>
          <w:sz w:val="18"/>
          <w:szCs w:val="18"/>
          <w:u w:val="single" w:color="auto"/>
          <w:color w:val="0000EE"/>
        </w:rPr>
      </w:pPr>
      <w:hyperlink r:id="rId213">
        <w:r>
          <w:rPr>
            <w:rFonts w:ascii="Times New Roman" w:cs="Times New Roman" w:eastAsia="Times New Roman" w:hAnsi="Times New Roman"/>
            <w:sz w:val="18"/>
            <w:szCs w:val="18"/>
            <w:u w:val="single" w:color="auto"/>
            <w:color w:val="0000EE"/>
          </w:rPr>
          <w:t>Purchase Agreement, dated as of June 6, 2017, by and among the Company, Biotest Pharmaceuticals Corporation and ADMA Bio Centers</w:t>
        </w:r>
      </w:hyperlink>
      <w:r>
        <w:rPr>
          <w:rFonts w:ascii="Times New Roman" w:cs="Times New Roman" w:eastAsia="Times New Roman" w:hAnsi="Times New Roman"/>
          <w:sz w:val="18"/>
          <w:szCs w:val="18"/>
          <w:u w:val="single" w:color="auto"/>
          <w:color w:val="0000EE"/>
        </w:rPr>
        <w:t xml:space="preserve"> </w:t>
      </w:r>
      <w:hyperlink r:id="rId213">
        <w:r>
          <w:rPr>
            <w:rFonts w:ascii="Times New Roman" w:cs="Times New Roman" w:eastAsia="Times New Roman" w:hAnsi="Times New Roman"/>
            <w:sz w:val="18"/>
            <w:szCs w:val="18"/>
            <w:u w:val="single" w:color="auto"/>
            <w:color w:val="0000EE"/>
          </w:rPr>
          <w:t>Georgia, Inc. (incorporated herein by reference to Exhibit 10.7 to the Company’s Quarterly Report on Form 10-Q, filed with the SEC on</w:t>
        </w:r>
      </w:hyperlink>
      <w:r>
        <w:rPr>
          <w:rFonts w:ascii="Times New Roman" w:cs="Times New Roman" w:eastAsia="Times New Roman" w:hAnsi="Times New Roman"/>
          <w:sz w:val="18"/>
          <w:szCs w:val="18"/>
          <w:u w:val="single" w:color="auto"/>
          <w:color w:val="0000EE"/>
        </w:rPr>
        <w:t xml:space="preserve"> </w:t>
      </w:r>
      <w:hyperlink r:id="rId213">
        <w:r>
          <w:rPr>
            <w:rFonts w:ascii="Times New Roman" w:cs="Times New Roman" w:eastAsia="Times New Roman" w:hAnsi="Times New Roman"/>
            <w:sz w:val="18"/>
            <w:szCs w:val="18"/>
            <w:u w:val="single" w:color="auto"/>
            <w:color w:val="0000EE"/>
          </w:rPr>
          <w:t>August 11, 2017).</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320"/>
        <w:spacing w:after="0" w:line="282" w:lineRule="auto"/>
        <w:rPr>
          <w:rFonts w:ascii="Times New Roman" w:cs="Times New Roman" w:eastAsia="Times New Roman" w:hAnsi="Times New Roman"/>
          <w:sz w:val="18"/>
          <w:szCs w:val="18"/>
          <w:u w:val="single" w:color="auto"/>
          <w:color w:val="0000EE"/>
        </w:rPr>
      </w:pPr>
      <w:hyperlink r:id="rId215">
        <w:r>
          <w:rPr>
            <w:rFonts w:ascii="Times New Roman" w:cs="Times New Roman" w:eastAsia="Times New Roman" w:hAnsi="Times New Roman"/>
            <w:sz w:val="18"/>
            <w:szCs w:val="18"/>
            <w:u w:val="single" w:color="auto"/>
            <w:color w:val="0000EE"/>
          </w:rPr>
          <w:t>Form of Indemnification Agreement (incorporated herein by reference to Exhibit 10.12 to the Company’s Current Report on Form 8-K,</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filed with the SEC on February 13,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340"/>
        <w:spacing w:after="0" w:line="266" w:lineRule="auto"/>
        <w:rPr>
          <w:rFonts w:ascii="Times New Roman" w:cs="Times New Roman" w:eastAsia="Times New Roman" w:hAnsi="Times New Roman"/>
          <w:sz w:val="18"/>
          <w:szCs w:val="18"/>
          <w:u w:val="single" w:color="auto"/>
          <w:color w:val="0000EE"/>
        </w:rPr>
      </w:pPr>
      <w:hyperlink r:id="rId217">
        <w:r>
          <w:rPr>
            <w:rFonts w:ascii="Times New Roman" w:cs="Times New Roman" w:eastAsia="Times New Roman" w:hAnsi="Times New Roman"/>
            <w:sz w:val="18"/>
            <w:szCs w:val="18"/>
            <w:u w:val="single" w:color="auto"/>
            <w:color w:val="0000EE"/>
          </w:rPr>
          <w:t>Testing Services Agreement, dated as of June 8, 2012, by and between ADMA Biologics, Inc. and Quest Diagnostics Clinical</w:t>
        </w:r>
      </w:hyperlink>
      <w:r>
        <w:rPr>
          <w:rFonts w:ascii="Times New Roman" w:cs="Times New Roman" w:eastAsia="Times New Roman" w:hAnsi="Times New Roman"/>
          <w:sz w:val="18"/>
          <w:szCs w:val="18"/>
          <w:u w:val="single" w:color="auto"/>
          <w:color w:val="0000EE"/>
        </w:rPr>
        <w:t xml:space="preserve"> </w:t>
      </w:r>
      <w:hyperlink r:id="rId217">
        <w:r>
          <w:rPr>
            <w:rFonts w:ascii="Times New Roman" w:cs="Times New Roman" w:eastAsia="Times New Roman" w:hAnsi="Times New Roman"/>
            <w:sz w:val="18"/>
            <w:szCs w:val="18"/>
            <w:u w:val="single" w:color="auto"/>
            <w:color w:val="0000EE"/>
          </w:rPr>
          <w:t>Laboratories, Inc. (incorporated herein by reference to Exhibit 10.16 to Amendment No. 4 to the Company’s Registration Statement on</w:t>
        </w:r>
      </w:hyperlink>
      <w:r>
        <w:rPr>
          <w:rFonts w:ascii="Times New Roman" w:cs="Times New Roman" w:eastAsia="Times New Roman" w:hAnsi="Times New Roman"/>
          <w:sz w:val="18"/>
          <w:szCs w:val="18"/>
          <w:u w:val="single" w:color="auto"/>
          <w:color w:val="0000EE"/>
        </w:rPr>
        <w:t xml:space="preserve"> </w:t>
      </w:r>
      <w:hyperlink r:id="rId217">
        <w:r>
          <w:rPr>
            <w:rFonts w:ascii="Times New Roman" w:cs="Times New Roman" w:eastAsia="Times New Roman" w:hAnsi="Times New Roman"/>
            <w:sz w:val="18"/>
            <w:szCs w:val="18"/>
            <w:u w:val="single" w:color="auto"/>
            <w:color w:val="0000EE"/>
          </w:rPr>
          <w:t>Form S-1, filed with the SEC on August 10, 2012).</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60"/>
        <w:spacing w:after="0" w:line="266" w:lineRule="auto"/>
        <w:rPr>
          <w:rFonts w:ascii="Times New Roman" w:cs="Times New Roman" w:eastAsia="Times New Roman" w:hAnsi="Times New Roman"/>
          <w:sz w:val="18"/>
          <w:szCs w:val="18"/>
          <w:u w:val="single" w:color="auto"/>
          <w:color w:val="0000EE"/>
        </w:rPr>
      </w:pPr>
      <w:hyperlink r:id="rId219">
        <w:r>
          <w:rPr>
            <w:rFonts w:ascii="Times New Roman" w:cs="Times New Roman" w:eastAsia="Times New Roman" w:hAnsi="Times New Roman"/>
            <w:sz w:val="18"/>
            <w:szCs w:val="18"/>
            <w:u w:val="single" w:color="auto"/>
            <w:color w:val="0000EE"/>
          </w:rPr>
          <w:t>Loan and Security Agreement, dated as of June 19, 2015, by and among Oxford Finance LLC, the lenders party thereto, ADMA Biologics,</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Inc., ADMA Plasma Biologics, Inc. and ADMA Bio Centers Georgia Inc. (incorporated herein by reference to Exhibit 10.23 to the</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Company’s Quarterly Report on Form 10-Q, filed with the SEC on August 11, 2015).</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160"/>
        <w:spacing w:after="0" w:line="266" w:lineRule="auto"/>
        <w:rPr>
          <w:rFonts w:ascii="Times New Roman" w:cs="Times New Roman" w:eastAsia="Times New Roman" w:hAnsi="Times New Roman"/>
          <w:sz w:val="18"/>
          <w:szCs w:val="18"/>
          <w:u w:val="single" w:color="auto"/>
          <w:color w:val="0000EE"/>
        </w:rPr>
      </w:pPr>
      <w:hyperlink r:id="rId221">
        <w:r>
          <w:rPr>
            <w:rFonts w:ascii="Times New Roman" w:cs="Times New Roman" w:eastAsia="Times New Roman" w:hAnsi="Times New Roman"/>
            <w:sz w:val="18"/>
            <w:szCs w:val="18"/>
            <w:u w:val="single" w:color="auto"/>
            <w:color w:val="0000EE"/>
          </w:rPr>
          <w:t>First Amendment to Loan and Security Agreement, dated as of May 13, 2016, by and among Oxford Finance LLC, the lenders party</w:t>
        </w:r>
      </w:hyperlink>
      <w:r>
        <w:rPr>
          <w:rFonts w:ascii="Times New Roman" w:cs="Times New Roman" w:eastAsia="Times New Roman" w:hAnsi="Times New Roman"/>
          <w:sz w:val="18"/>
          <w:szCs w:val="18"/>
          <w:u w:val="single" w:color="auto"/>
          <w:color w:val="0000EE"/>
        </w:rPr>
        <w:t xml:space="preserve"> </w:t>
      </w:r>
      <w:hyperlink r:id="rId221">
        <w:r>
          <w:rPr>
            <w:rFonts w:ascii="Times New Roman" w:cs="Times New Roman" w:eastAsia="Times New Roman" w:hAnsi="Times New Roman"/>
            <w:sz w:val="18"/>
            <w:szCs w:val="18"/>
            <w:u w:val="single" w:color="auto"/>
            <w:color w:val="0000EE"/>
          </w:rPr>
          <w:t>thereto, ADMA Biologics, Inc., ADMA Plasma Biologics, Inc. and ADMA Bio Centers Georgia Inc. (incorporated herein by reference to</w:t>
        </w:r>
      </w:hyperlink>
      <w:r>
        <w:rPr>
          <w:rFonts w:ascii="Times New Roman" w:cs="Times New Roman" w:eastAsia="Times New Roman" w:hAnsi="Times New Roman"/>
          <w:sz w:val="18"/>
          <w:szCs w:val="18"/>
          <w:u w:val="single" w:color="auto"/>
          <w:color w:val="0000EE"/>
        </w:rPr>
        <w:t xml:space="preserve"> </w:t>
      </w:r>
      <w:hyperlink r:id="rId221">
        <w:r>
          <w:rPr>
            <w:rFonts w:ascii="Times New Roman" w:cs="Times New Roman" w:eastAsia="Times New Roman" w:hAnsi="Times New Roman"/>
            <w:sz w:val="18"/>
            <w:szCs w:val="18"/>
            <w:u w:val="single" w:color="auto"/>
            <w:color w:val="0000EE"/>
          </w:rPr>
          <w:t>Exhibit 10.17.1 to the Company’s Quarterly Report on Form 10-Q, filed with the SEC on May 13, 2016).</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380"/>
        <w:spacing w:after="0" w:line="266" w:lineRule="auto"/>
        <w:rPr>
          <w:rFonts w:ascii="Times New Roman" w:cs="Times New Roman" w:eastAsia="Times New Roman" w:hAnsi="Times New Roman"/>
          <w:sz w:val="18"/>
          <w:szCs w:val="18"/>
          <w:u w:val="single" w:color="auto"/>
          <w:color w:val="0000EE"/>
        </w:rPr>
      </w:pPr>
      <w:hyperlink r:id="rId223">
        <w:r>
          <w:rPr>
            <w:rFonts w:ascii="Times New Roman" w:cs="Times New Roman" w:eastAsia="Times New Roman" w:hAnsi="Times New Roman"/>
            <w:sz w:val="18"/>
            <w:szCs w:val="18"/>
            <w:u w:val="single" w:color="auto"/>
            <w:color w:val="0000EE"/>
          </w:rPr>
          <w:t>Subordinated Loan Agreement, dated as of June 6, 2017, by and among the Company, ADMA BioManufacturing, LLC and Biotest</w:t>
        </w:r>
      </w:hyperlink>
      <w:r>
        <w:rPr>
          <w:rFonts w:ascii="Times New Roman" w:cs="Times New Roman" w:eastAsia="Times New Roman" w:hAnsi="Times New Roman"/>
          <w:sz w:val="18"/>
          <w:szCs w:val="18"/>
          <w:u w:val="single" w:color="auto"/>
          <w:color w:val="0000EE"/>
        </w:rPr>
        <w:t xml:space="preserve"> </w:t>
      </w:r>
      <w:hyperlink r:id="rId223">
        <w:r>
          <w:rPr>
            <w:rFonts w:ascii="Times New Roman" w:cs="Times New Roman" w:eastAsia="Times New Roman" w:hAnsi="Times New Roman"/>
            <w:sz w:val="18"/>
            <w:szCs w:val="18"/>
            <w:u w:val="single" w:color="auto"/>
            <w:color w:val="0000EE"/>
          </w:rPr>
          <w:t>Pharmaceuticals Corporation (incorporated herein by reference to Exhibit 10.1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223">
        <w:r>
          <w:rPr>
            <w:rFonts w:ascii="Times New Roman" w:cs="Times New Roman" w:eastAsia="Times New Roman" w:hAnsi="Times New Roman"/>
            <w:sz w:val="18"/>
            <w:szCs w:val="18"/>
            <w:u w:val="single" w:color="auto"/>
            <w:color w:val="0000EE"/>
          </w:rPr>
          <w:t>June 12, 2017).</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jc w:val="both"/>
        <w:ind w:right="40"/>
        <w:spacing w:after="0" w:line="266" w:lineRule="auto"/>
        <w:rPr>
          <w:rFonts w:ascii="Times New Roman" w:cs="Times New Roman" w:eastAsia="Times New Roman" w:hAnsi="Times New Roman"/>
          <w:sz w:val="18"/>
          <w:szCs w:val="18"/>
          <w:u w:val="single" w:color="auto"/>
          <w:color w:val="0000EE"/>
        </w:rPr>
      </w:pPr>
      <w:hyperlink r:id="rId225">
        <w:r>
          <w:rPr>
            <w:rFonts w:ascii="Times New Roman" w:cs="Times New Roman" w:eastAsia="Times New Roman" w:hAnsi="Times New Roman"/>
            <w:sz w:val="18"/>
            <w:szCs w:val="18"/>
            <w:u w:val="single" w:color="auto"/>
            <w:color w:val="0000EE"/>
          </w:rPr>
          <w:t>Credit Agreement, dated as of October 10, 2017, by and among the Company, ADMA Plasma Biologics, Inc., ADMA Bio Centers Georgia</w:t>
        </w:r>
      </w:hyperlink>
      <w:r>
        <w:rPr>
          <w:rFonts w:ascii="Times New Roman" w:cs="Times New Roman" w:eastAsia="Times New Roman" w:hAnsi="Times New Roman"/>
          <w:sz w:val="18"/>
          <w:szCs w:val="18"/>
          <w:u w:val="single" w:color="auto"/>
          <w:color w:val="0000EE"/>
        </w:rPr>
        <w:t xml:space="preserve"> </w:t>
      </w:r>
      <w:hyperlink r:id="rId225">
        <w:r>
          <w:rPr>
            <w:rFonts w:ascii="Times New Roman" w:cs="Times New Roman" w:eastAsia="Times New Roman" w:hAnsi="Times New Roman"/>
            <w:sz w:val="18"/>
            <w:szCs w:val="18"/>
            <w:u w:val="single" w:color="auto"/>
            <w:color w:val="0000EE"/>
          </w:rPr>
          <w:t>Inc., ADMA BioManufacturing, LLC, Marathon Healthcare Finance Fund, L.P. and Wilmington Trust, National Association (incorporated</w:t>
        </w:r>
      </w:hyperlink>
      <w:r>
        <w:rPr>
          <w:rFonts w:ascii="Times New Roman" w:cs="Times New Roman" w:eastAsia="Times New Roman" w:hAnsi="Times New Roman"/>
          <w:sz w:val="18"/>
          <w:szCs w:val="18"/>
          <w:u w:val="single" w:color="auto"/>
          <w:color w:val="0000EE"/>
        </w:rPr>
        <w:t xml:space="preserve"> </w:t>
      </w:r>
      <w:hyperlink r:id="rId225">
        <w:r>
          <w:rPr>
            <w:rFonts w:ascii="Times New Roman" w:cs="Times New Roman" w:eastAsia="Times New Roman" w:hAnsi="Times New Roman"/>
            <w:sz w:val="18"/>
            <w:szCs w:val="18"/>
            <w:u w:val="single" w:color="auto"/>
            <w:color w:val="0000EE"/>
          </w:rPr>
          <w:t>herein by reference to Exhibit 10.1 to the Company’s Current Report on Form 8-K, filed with the SEC on October 11, 2017).</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280"/>
        <w:spacing w:after="0" w:line="266" w:lineRule="auto"/>
        <w:rPr>
          <w:rFonts w:ascii="Times New Roman" w:cs="Times New Roman" w:eastAsia="Times New Roman" w:hAnsi="Times New Roman"/>
          <w:sz w:val="18"/>
          <w:szCs w:val="18"/>
          <w:u w:val="single" w:color="auto"/>
          <w:color w:val="0000EE"/>
        </w:rPr>
      </w:pPr>
      <w:hyperlink r:id="rId227">
        <w:r>
          <w:rPr>
            <w:rFonts w:ascii="Times New Roman" w:cs="Times New Roman" w:eastAsia="Times New Roman" w:hAnsi="Times New Roman"/>
            <w:sz w:val="18"/>
            <w:szCs w:val="18"/>
            <w:u w:val="single" w:color="auto"/>
            <w:color w:val="0000EE"/>
          </w:rPr>
          <w:t>Security Agreement, dated as of October 10, 2017, by and among the Company, ADMA Plasma Biologics, Inc., ADMA Bio Centers</w:t>
        </w:r>
      </w:hyperlink>
      <w:r>
        <w:rPr>
          <w:rFonts w:ascii="Times New Roman" w:cs="Times New Roman" w:eastAsia="Times New Roman" w:hAnsi="Times New Roman"/>
          <w:sz w:val="18"/>
          <w:szCs w:val="18"/>
          <w:u w:val="single" w:color="auto"/>
          <w:color w:val="0000EE"/>
        </w:rPr>
        <w:t xml:space="preserve"> </w:t>
      </w:r>
      <w:hyperlink r:id="rId227">
        <w:r>
          <w:rPr>
            <w:rFonts w:ascii="Times New Roman" w:cs="Times New Roman" w:eastAsia="Times New Roman" w:hAnsi="Times New Roman"/>
            <w:sz w:val="18"/>
            <w:szCs w:val="18"/>
            <w:u w:val="single" w:color="auto"/>
            <w:color w:val="0000EE"/>
          </w:rPr>
          <w:t>Georgia Inc., ADMA BioManufacturing, LLC and Wilmington Trust, National Association (incorporated herein by reference to Exhibit</w:t>
        </w:r>
      </w:hyperlink>
      <w:r>
        <w:rPr>
          <w:rFonts w:ascii="Times New Roman" w:cs="Times New Roman" w:eastAsia="Times New Roman" w:hAnsi="Times New Roman"/>
          <w:sz w:val="18"/>
          <w:szCs w:val="18"/>
          <w:u w:val="single" w:color="auto"/>
          <w:color w:val="0000EE"/>
        </w:rPr>
        <w:t xml:space="preserve"> </w:t>
      </w:r>
      <w:hyperlink r:id="rId227">
        <w:r>
          <w:rPr>
            <w:rFonts w:ascii="Times New Roman" w:cs="Times New Roman" w:eastAsia="Times New Roman" w:hAnsi="Times New Roman"/>
            <w:sz w:val="18"/>
            <w:szCs w:val="18"/>
            <w:u w:val="single" w:color="auto"/>
            <w:color w:val="0000EE"/>
          </w:rPr>
          <w:t>10.2 to the Company’s Current Report on Form 8-K, filed with the SEC on October 11, 2017).</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260"/>
        <w:spacing w:after="0" w:line="266" w:lineRule="auto"/>
        <w:rPr>
          <w:rFonts w:ascii="Times New Roman" w:cs="Times New Roman" w:eastAsia="Times New Roman" w:hAnsi="Times New Roman"/>
          <w:sz w:val="18"/>
          <w:szCs w:val="18"/>
          <w:u w:val="single" w:color="auto"/>
          <w:color w:val="0000EE"/>
        </w:rPr>
      </w:pPr>
      <w:hyperlink r:id="rId229">
        <w:r>
          <w:rPr>
            <w:rFonts w:ascii="Times New Roman" w:cs="Times New Roman" w:eastAsia="Times New Roman" w:hAnsi="Times New Roman"/>
            <w:sz w:val="18"/>
            <w:szCs w:val="18"/>
            <w:u w:val="single" w:color="auto"/>
            <w:color w:val="0000EE"/>
          </w:rPr>
          <w:t>Intellectual Property Security Agreement, dated as of October 10, 2017, by and among the Company, ADMA Plasma Biologics, Inc.,</w:t>
        </w:r>
      </w:hyperlink>
      <w:r>
        <w:rPr>
          <w:rFonts w:ascii="Times New Roman" w:cs="Times New Roman" w:eastAsia="Times New Roman" w:hAnsi="Times New Roman"/>
          <w:sz w:val="18"/>
          <w:szCs w:val="18"/>
          <w:u w:val="single" w:color="auto"/>
          <w:color w:val="0000EE"/>
        </w:rPr>
        <w:t xml:space="preserve"> </w:t>
      </w:r>
      <w:hyperlink r:id="rId229">
        <w:r>
          <w:rPr>
            <w:rFonts w:ascii="Times New Roman" w:cs="Times New Roman" w:eastAsia="Times New Roman" w:hAnsi="Times New Roman"/>
            <w:sz w:val="18"/>
            <w:szCs w:val="18"/>
            <w:u w:val="single" w:color="auto"/>
            <w:color w:val="0000EE"/>
          </w:rPr>
          <w:t>ADMA Bio Centers Georgia Inc., ADMA BioManufacturing, LLC and Wilmington Trust, National Association (incorporated herein by</w:t>
        </w:r>
      </w:hyperlink>
      <w:r>
        <w:rPr>
          <w:rFonts w:ascii="Times New Roman" w:cs="Times New Roman" w:eastAsia="Times New Roman" w:hAnsi="Times New Roman"/>
          <w:sz w:val="18"/>
          <w:szCs w:val="18"/>
          <w:u w:val="single" w:color="auto"/>
          <w:color w:val="0000EE"/>
        </w:rPr>
        <w:t xml:space="preserve"> </w:t>
      </w:r>
      <w:hyperlink r:id="rId229">
        <w:r>
          <w:rPr>
            <w:rFonts w:ascii="Times New Roman" w:cs="Times New Roman" w:eastAsia="Times New Roman" w:hAnsi="Times New Roman"/>
            <w:sz w:val="18"/>
            <w:szCs w:val="18"/>
            <w:u w:val="single" w:color="auto"/>
            <w:color w:val="0000EE"/>
          </w:rPr>
          <w:t>reference to Exhibit 10.3 to the Company’s Current Report on Form 8-K, filed with the SEC on October 11, 2017).</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u w:val="single" w:color="auto"/>
          <w:color w:val="0000EE"/>
        </w:rPr>
      </w:pPr>
    </w:p>
    <w:p>
      <w:pPr>
        <w:ind w:right="100"/>
        <w:spacing w:after="0" w:line="313" w:lineRule="auto"/>
        <w:rPr>
          <w:rFonts w:ascii="Times New Roman" w:cs="Times New Roman" w:eastAsia="Times New Roman" w:hAnsi="Times New Roman"/>
          <w:sz w:val="17"/>
          <w:szCs w:val="17"/>
          <w:u w:val="single" w:color="auto"/>
          <w:color w:val="0000EE"/>
        </w:rPr>
      </w:pPr>
      <w:hyperlink r:id="rId231">
        <w:r>
          <w:rPr>
            <w:rFonts w:ascii="Times New Roman" w:cs="Times New Roman" w:eastAsia="Times New Roman" w:hAnsi="Times New Roman"/>
            <w:sz w:val="17"/>
            <w:szCs w:val="17"/>
            <w:u w:val="single" w:color="auto"/>
            <w:color w:val="0000EE"/>
          </w:rPr>
          <w:t>Pledge Agreement, dated as of October 10, 2017, by and between the Company and Wilmington Trust, National Association (incorporated</w:t>
        </w:r>
      </w:hyperlink>
      <w:r>
        <w:rPr>
          <w:rFonts w:ascii="Times New Roman" w:cs="Times New Roman" w:eastAsia="Times New Roman" w:hAnsi="Times New Roman"/>
          <w:sz w:val="17"/>
          <w:szCs w:val="17"/>
          <w:u w:val="single" w:color="auto"/>
          <w:color w:val="0000EE"/>
        </w:rPr>
        <w:t xml:space="preserve"> </w:t>
      </w:r>
      <w:hyperlink r:id="rId231">
        <w:r>
          <w:rPr>
            <w:rFonts w:ascii="Times New Roman" w:cs="Times New Roman" w:eastAsia="Times New Roman" w:hAnsi="Times New Roman"/>
            <w:sz w:val="17"/>
            <w:szCs w:val="17"/>
            <w:u w:val="single" w:color="auto"/>
            <w:color w:val="0000EE"/>
          </w:rPr>
          <w:t>herein by reference to Exhibit 10.4 to the Company’s Current Report on Form 8-K, filed with the SEC on October 11,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638048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6380480" cy="1714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356870</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580" w:space="720"/>
            <w:col w:w="10080"/>
          </w:cols>
          <w:pgMar w:left="280" w:top="225"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2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w w:val="99"/>
              </w:rPr>
            </w:pPr>
            <w:hyperlink w:anchor="page3">
              <w:r>
                <w:rPr>
                  <w:rFonts w:ascii="Times New Roman" w:cs="Times New Roman" w:eastAsia="Times New Roman" w:hAnsi="Times New Roman"/>
                  <w:sz w:val="14"/>
                  <w:szCs w:val="14"/>
                  <w:color w:val="0000EE"/>
                  <w:w w:val="99"/>
                </w:rPr>
                <w:t>Table of Contents</w:t>
              </w:r>
            </w:hyperlink>
          </w:p>
        </w:tc>
      </w:tr>
      <w:tr>
        <w:trPr>
          <w:trHeight w:val="54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tcPr>
          <w:p>
            <w:pPr>
              <w:spacing w:after="0"/>
              <w:rPr>
                <w:sz w:val="24"/>
                <w:szCs w:val="24"/>
                <w:color w:val="auto"/>
              </w:rPr>
            </w:pPr>
          </w:p>
        </w:tc>
        <w:tc>
          <w:tcPr>
            <w:tcW w:w="91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License Agreement, effective as of December 31, 2012, by and between ADMA Biologics, Inc. and Biotest Aktiengesellschaft</w:t>
              </w:r>
            </w:hyperlink>
          </w:p>
        </w:tc>
        <w:tc>
          <w:tcPr>
            <w:tcW w:w="94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9"/>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(incorporated herein by reference to Exhibit 10.21 to the Company’s Registration Statement on Form S-1, filed with the SEC on February</w:t>
              </w:r>
            </w:hyperlink>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11, 2013).</w:t>
              </w:r>
            </w:hyperlink>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4"/>
        </w:trPr>
        <w:tc>
          <w:tcPr>
            <w:tcW w:w="11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Borders>
              <w:top w:val="single" w:sz="8" w:color="0000EE"/>
              <w:bottom w:val="single" w:sz="8" w:color="auto"/>
            </w:tcBorders>
          </w:tcPr>
          <w:p>
            <w:pPr>
              <w:spacing w:after="0"/>
              <w:rPr>
                <w:sz w:val="21"/>
                <w:szCs w:val="21"/>
                <w:color w:val="auto"/>
              </w:rPr>
            </w:pPr>
          </w:p>
        </w:tc>
        <w:tc>
          <w:tcPr>
            <w:tcW w:w="260" w:type="dxa"/>
            <w:vAlign w:val="bottom"/>
            <w:tcBorders>
              <w:top w:val="single" w:sz="8" w:color="0000EE"/>
              <w:bottom w:val="single" w:sz="8" w:color="auto"/>
            </w:tcBorders>
          </w:tcPr>
          <w:p>
            <w:pPr>
              <w:spacing w:after="0"/>
              <w:rPr>
                <w:sz w:val="21"/>
                <w:szCs w:val="21"/>
                <w:color w:val="auto"/>
              </w:rPr>
            </w:pPr>
          </w:p>
        </w:tc>
        <w:tc>
          <w:tcPr>
            <w:tcW w:w="83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11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10.23.1</w:t>
            </w:r>
          </w:p>
        </w:tc>
        <w:tc>
          <w:tcPr>
            <w:tcW w:w="180" w:type="dxa"/>
            <w:vAlign w:val="bottom"/>
          </w:tcPr>
          <w:p>
            <w:pPr>
              <w:spacing w:after="0"/>
              <w:rPr>
                <w:sz w:val="17"/>
                <w:szCs w:val="17"/>
                <w:color w:val="auto"/>
              </w:rPr>
            </w:pPr>
          </w:p>
        </w:tc>
        <w:tc>
          <w:tcPr>
            <w:tcW w:w="10080" w:type="dxa"/>
            <w:vAlign w:val="bottom"/>
            <w:gridSpan w:val="9"/>
          </w:tcPr>
          <w:p>
            <w:pPr>
              <w:spacing w:after="0" w:line="202"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First Amendment to License Agreement, dated as of June 6, 2017, by and between the Company and Biotest Aktiengesellschaft</w:t>
              </w:r>
            </w:hyperlink>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72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9"/>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(incorporated herein by reference to Exhibit 10.8 to the Company’s Quarterly Report on Form 10-Q, filed with the SEC on August 11,</w:t>
              </w:r>
            </w:hyperlink>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35">
              <w:r>
                <w:rPr>
                  <w:rFonts w:ascii="Times New Roman" w:cs="Times New Roman" w:eastAsia="Times New Roman" w:hAnsi="Times New Roman"/>
                  <w:sz w:val="18"/>
                  <w:szCs w:val="18"/>
                  <w:color w:val="0000EE"/>
                  <w:w w:val="98"/>
                </w:rPr>
                <w:t>2017).</w:t>
              </w:r>
            </w:hyperlink>
          </w:p>
        </w:tc>
        <w:tc>
          <w:tcPr>
            <w:tcW w:w="260" w:type="dxa"/>
            <w:vAlign w:val="bottom"/>
            <w:tcBorders>
              <w:top w:val="single" w:sz="8" w:color="0000EE"/>
            </w:tcBorders>
          </w:tcPr>
          <w:p>
            <w:pPr>
              <w:spacing w:after="0"/>
              <w:rPr>
                <w:sz w:val="17"/>
                <w:szCs w:val="17"/>
                <w:color w:val="auto"/>
              </w:rPr>
            </w:pPr>
          </w:p>
        </w:tc>
        <w:tc>
          <w:tcPr>
            <w:tcW w:w="8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721233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ectPr>
          <w:pgSz w:w="11900" w:h="16838" w:orient="portrait"/>
          <w:cols w:equalWidth="0" w:num="1">
            <w:col w:w="11380"/>
          </w:cols>
          <w:pgMar w:left="280" w:top="222" w:right="239" w:bottom="1440" w:gutter="0" w:footer="0" w:header="0"/>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72009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220"/>
        <w:spacing w:after="0" w:line="282" w:lineRule="auto"/>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Manufacturing Agreement, dated as of September 30, 2011, by and between ADMA BioManufacturing, LLC (as successor-in-interest to</w:t>
        </w:r>
      </w:hyperlink>
      <w:r>
        <w:rPr>
          <w:rFonts w:ascii="Times New Roman" w:cs="Times New Roman" w:eastAsia="Times New Roman" w:hAnsi="Times New Roman"/>
          <w:sz w:val="18"/>
          <w:szCs w:val="18"/>
          <w:u w:val="single" w:color="auto"/>
          <w:color w:val="0000EE"/>
        </w:rPr>
        <w:t xml:space="preserve"> </w:t>
      </w:r>
      <w:hyperlink w:anchor="page104">
        <w:r>
          <w:rPr>
            <w:rFonts w:ascii="Times New Roman" w:cs="Times New Roman" w:eastAsia="Times New Roman" w:hAnsi="Times New Roman"/>
            <w:sz w:val="18"/>
            <w:szCs w:val="18"/>
            <w:u w:val="single" w:color="auto"/>
            <w:color w:val="0000EE"/>
          </w:rPr>
          <w:t>Biotest Pharmaceuticals Corporation) and Sanofi Pasteur S.A.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420"/>
        <w:spacing w:after="0" w:line="282" w:lineRule="auto"/>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Amendment #2 to the Manufacturing Agreement, effective as of August 1, 2016, by and between ADMA BioManufacturing, LLC (as</w:t>
        </w:r>
      </w:hyperlink>
      <w:r>
        <w:rPr>
          <w:rFonts w:ascii="Times New Roman" w:cs="Times New Roman" w:eastAsia="Times New Roman" w:hAnsi="Times New Roman"/>
          <w:sz w:val="18"/>
          <w:szCs w:val="18"/>
          <w:u w:val="single" w:color="auto"/>
          <w:color w:val="0000EE"/>
        </w:rPr>
        <w:t xml:space="preserve"> </w:t>
      </w:r>
      <w:hyperlink w:anchor="page123">
        <w:r>
          <w:rPr>
            <w:rFonts w:ascii="Times New Roman" w:cs="Times New Roman" w:eastAsia="Times New Roman" w:hAnsi="Times New Roman"/>
            <w:sz w:val="18"/>
            <w:szCs w:val="18"/>
            <w:u w:val="single" w:color="auto"/>
            <w:color w:val="0000EE"/>
          </w:rPr>
          <w:t>successor-in-interest to Biotest Pharmaceuticals Corporation) and Sanofi Pasteur S.A.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4">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60"/>
        <w:spacing w:after="0" w:line="282" w:lineRule="auto"/>
        <w:rPr>
          <w:rFonts w:ascii="Times New Roman" w:cs="Times New Roman" w:eastAsia="Times New Roman" w:hAnsi="Times New Roman"/>
          <w:sz w:val="18"/>
          <w:szCs w:val="18"/>
          <w:u w:val="single" w:color="auto"/>
          <w:color w:val="0000EE"/>
        </w:rPr>
      </w:pPr>
      <w:hyperlink w:anchor="page128">
        <w:r>
          <w:rPr>
            <w:rFonts w:ascii="Times New Roman" w:cs="Times New Roman" w:eastAsia="Times New Roman" w:hAnsi="Times New Roman"/>
            <w:sz w:val="18"/>
            <w:szCs w:val="18"/>
            <w:u w:val="single" w:color="auto"/>
            <w:color w:val="0000EE"/>
          </w:rPr>
          <w:t>Amendment #3 to the Manufacturing Agreement, effective as of December 21, 2017, by and between ADMA BioManufacturing, LLC and</w:t>
        </w:r>
      </w:hyperlink>
      <w:r>
        <w:rPr>
          <w:rFonts w:ascii="Times New Roman" w:cs="Times New Roman" w:eastAsia="Times New Roman" w:hAnsi="Times New Roman"/>
          <w:sz w:val="18"/>
          <w:szCs w:val="18"/>
          <w:u w:val="single" w:color="auto"/>
          <w:color w:val="0000EE"/>
        </w:rPr>
        <w:t xml:space="preserve"> </w:t>
      </w:r>
      <w:hyperlink w:anchor="page128">
        <w:r>
          <w:rPr>
            <w:rFonts w:ascii="Times New Roman" w:cs="Times New Roman" w:eastAsia="Times New Roman" w:hAnsi="Times New Roman"/>
            <w:sz w:val="18"/>
            <w:szCs w:val="18"/>
            <w:u w:val="single" w:color="auto"/>
            <w:color w:val="0000EE"/>
          </w:rPr>
          <w:t>Sanofi Pasteur S.A.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220"/>
        <w:spacing w:after="0" w:line="282" w:lineRule="auto"/>
        <w:rPr>
          <w:rFonts w:ascii="Times New Roman" w:cs="Times New Roman" w:eastAsia="Times New Roman" w:hAnsi="Times New Roman"/>
          <w:sz w:val="18"/>
          <w:szCs w:val="18"/>
          <w:u w:val="single" w:color="auto"/>
          <w:color w:val="0000EE"/>
        </w:rPr>
      </w:pPr>
      <w:hyperlink r:id="rId246">
        <w:r>
          <w:rPr>
            <w:rFonts w:ascii="Times New Roman" w:cs="Times New Roman" w:eastAsia="Times New Roman" w:hAnsi="Times New Roman"/>
            <w:sz w:val="18"/>
            <w:szCs w:val="18"/>
            <w:u w:val="single" w:color="auto"/>
            <w:color w:val="0000EE"/>
          </w:rPr>
          <w:t>Stockholders Agreement, dated as of June 6, 2017, by and between the Company and Biotest Pharmaceuticals Corporation (incorporated</w:t>
        </w:r>
      </w:hyperlink>
      <w:r>
        <w:rPr>
          <w:rFonts w:ascii="Times New Roman" w:cs="Times New Roman" w:eastAsia="Times New Roman" w:hAnsi="Times New Roman"/>
          <w:sz w:val="18"/>
          <w:szCs w:val="18"/>
          <w:u w:val="single" w:color="auto"/>
          <w:color w:val="0000EE"/>
        </w:rPr>
        <w:t xml:space="preserve"> </w:t>
      </w:r>
      <w:hyperlink r:id="rId246">
        <w:r>
          <w:rPr>
            <w:rFonts w:ascii="Times New Roman" w:cs="Times New Roman" w:eastAsia="Times New Roman" w:hAnsi="Times New Roman"/>
            <w:sz w:val="18"/>
            <w:szCs w:val="18"/>
            <w:u w:val="single" w:color="auto"/>
            <w:color w:val="0000EE"/>
          </w:rPr>
          <w:t>herein by reference to Exhibit 10.2 to the Company’s Current Report on Form 8-K filed on June 12,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780"/>
        <w:spacing w:after="0" w:line="282" w:lineRule="auto"/>
        <w:rPr>
          <w:rFonts w:ascii="Times New Roman" w:cs="Times New Roman" w:eastAsia="Times New Roman" w:hAnsi="Times New Roman"/>
          <w:sz w:val="18"/>
          <w:szCs w:val="18"/>
          <w:u w:val="single" w:color="auto"/>
          <w:color w:val="0000EE"/>
        </w:rPr>
      </w:pPr>
      <w:hyperlink r:id="rId248">
        <w:r>
          <w:rPr>
            <w:rFonts w:ascii="Times New Roman" w:cs="Times New Roman" w:eastAsia="Times New Roman" w:hAnsi="Times New Roman"/>
            <w:sz w:val="18"/>
            <w:szCs w:val="18"/>
            <w:u w:val="single" w:color="auto"/>
            <w:color w:val="0000EE"/>
          </w:rPr>
          <w:t>Registration Rights Agreement, dated as of June 6, 2017, by and between the Company and Biotest Pharmaceuticals Corporation</w:t>
        </w:r>
      </w:hyperlink>
      <w:r>
        <w:rPr>
          <w:rFonts w:ascii="Times New Roman" w:cs="Times New Roman" w:eastAsia="Times New Roman" w:hAnsi="Times New Roman"/>
          <w:sz w:val="18"/>
          <w:szCs w:val="18"/>
          <w:u w:val="single" w:color="auto"/>
          <w:color w:val="0000EE"/>
        </w:rPr>
        <w:t xml:space="preserve"> </w:t>
      </w:r>
      <w:hyperlink r:id="rId248">
        <w:r>
          <w:rPr>
            <w:rFonts w:ascii="Times New Roman" w:cs="Times New Roman" w:eastAsia="Times New Roman" w:hAnsi="Times New Roman"/>
            <w:sz w:val="18"/>
            <w:szCs w:val="18"/>
            <w:u w:val="single" w:color="auto"/>
            <w:color w:val="0000EE"/>
          </w:rPr>
          <w:t>(incorporated herein by reference to Exhibit 10.3 to the Company’s Current Report on Form 8-K filed on June 12,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jc w:val="both"/>
        <w:ind w:right="300"/>
        <w:spacing w:after="0" w:line="266" w:lineRule="auto"/>
        <w:rPr>
          <w:rFonts w:ascii="Times New Roman" w:cs="Times New Roman" w:eastAsia="Times New Roman" w:hAnsi="Times New Roman"/>
          <w:sz w:val="18"/>
          <w:szCs w:val="18"/>
          <w:u w:val="single" w:color="auto"/>
          <w:color w:val="0000EE"/>
        </w:rPr>
      </w:pPr>
      <w:hyperlink r:id="rId250">
        <w:r>
          <w:rPr>
            <w:rFonts w:ascii="Times New Roman" w:cs="Times New Roman" w:eastAsia="Times New Roman" w:hAnsi="Times New Roman"/>
            <w:sz w:val="18"/>
            <w:szCs w:val="18"/>
            <w:u w:val="single" w:color="auto"/>
            <w:color w:val="0000EE"/>
          </w:rPr>
          <w:t>Transition Services Agreement, dated as of June 6, 2017, by and between ADMA BioManufacturing, LLC and Biotest Pharmaceuticals</w:t>
        </w:r>
      </w:hyperlink>
      <w:r>
        <w:rPr>
          <w:rFonts w:ascii="Times New Roman" w:cs="Times New Roman" w:eastAsia="Times New Roman" w:hAnsi="Times New Roman"/>
          <w:sz w:val="18"/>
          <w:szCs w:val="18"/>
          <w:u w:val="single" w:color="auto"/>
          <w:color w:val="0000EE"/>
        </w:rPr>
        <w:t xml:space="preserve"> </w:t>
      </w:r>
      <w:hyperlink r:id="rId250">
        <w:r>
          <w:rPr>
            <w:rFonts w:ascii="Times New Roman" w:cs="Times New Roman" w:eastAsia="Times New Roman" w:hAnsi="Times New Roman"/>
            <w:sz w:val="18"/>
            <w:szCs w:val="18"/>
            <w:u w:val="single" w:color="auto"/>
            <w:color w:val="0000EE"/>
          </w:rPr>
          <w:t>Corporation (incorporated herein by reference to Exhibit 10.4 to the Company’s Quarterly Report on Form 10-Q, filed with the SEC on</w:t>
        </w:r>
      </w:hyperlink>
      <w:r>
        <w:rPr>
          <w:rFonts w:ascii="Times New Roman" w:cs="Times New Roman" w:eastAsia="Times New Roman" w:hAnsi="Times New Roman"/>
          <w:sz w:val="18"/>
          <w:szCs w:val="18"/>
          <w:u w:val="single" w:color="auto"/>
          <w:color w:val="0000EE"/>
        </w:rPr>
        <w:t xml:space="preserve"> </w:t>
      </w:r>
      <w:hyperlink r:id="rId250">
        <w:r>
          <w:rPr>
            <w:rFonts w:ascii="Times New Roman" w:cs="Times New Roman" w:eastAsia="Times New Roman" w:hAnsi="Times New Roman"/>
            <w:sz w:val="18"/>
            <w:szCs w:val="18"/>
            <w:u w:val="single" w:color="auto"/>
            <w:color w:val="0000EE"/>
          </w:rPr>
          <w:t>August 11, 2017).</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638048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1">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880" w:space="420"/>
            <w:col w:w="10080"/>
          </w:cols>
          <w:pgMar w:left="280" w:top="222" w:right="239" w:bottom="1440" w:gutter="0" w:footer="0" w:header="0"/>
          <w:type w:val="continuous"/>
        </w:sectPr>
      </w:pPr>
    </w:p>
    <w:p>
      <w:pPr>
        <w:spacing w:after="0" w:line="17" w:lineRule="exact"/>
        <w:rPr>
          <w:rFonts w:ascii="Times New Roman" w:cs="Times New Roman" w:eastAsia="Times New Roman" w:hAnsi="Times New Roman"/>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93"/>
              </w:rPr>
              <w:t>10.28</w:t>
            </w:r>
          </w:p>
        </w:tc>
        <w:tc>
          <w:tcPr>
            <w:tcW w:w="9900" w:type="dxa"/>
            <w:vAlign w:val="bottom"/>
            <w:gridSpan w:val="3"/>
          </w:tcPr>
          <w:p>
            <w:pPr>
              <w:spacing w:after="0"/>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Termination Agreement (Manufacturing, Supply and License Agreement and Master Services Agreement), dated as of June 6, 2017, by</w:t>
              </w:r>
            </w:hyperlink>
          </w:p>
        </w:tc>
      </w:tr>
      <w:tr>
        <w:trPr>
          <w:trHeight w:val="20"/>
        </w:trPr>
        <w:tc>
          <w:tcPr>
            <w:tcW w:w="1300" w:type="dxa"/>
            <w:vAlign w:val="bottom"/>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and between the Company and Biotest Pharmaceuticals Corporation (incorporated herein by reference to Exhibit 10.10 to the Company’s</w:t>
              </w:r>
            </w:hyperlink>
          </w:p>
        </w:tc>
      </w:tr>
      <w:tr>
        <w:trPr>
          <w:trHeight w:val="196"/>
        </w:trPr>
        <w:tc>
          <w:tcPr>
            <w:tcW w:w="1300" w:type="dxa"/>
            <w:vAlign w:val="bottom"/>
          </w:tcPr>
          <w:p>
            <w:pPr>
              <w:spacing w:after="0"/>
              <w:rPr>
                <w:sz w:val="17"/>
                <w:szCs w:val="17"/>
                <w:color w:val="auto"/>
              </w:rPr>
            </w:pPr>
          </w:p>
        </w:tc>
        <w:tc>
          <w:tcPr>
            <w:tcW w:w="53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Quarterly Report on Form 10-Q, filed with the SEC on August 11, 2017).</w:t>
              </w:r>
            </w:hyperlink>
          </w:p>
        </w:tc>
        <w:tc>
          <w:tcPr>
            <w:tcW w:w="460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721233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ectPr>
          <w:pgSz w:w="11900" w:h="16838" w:orient="portrait"/>
          <w:cols w:equalWidth="0" w:num="1">
            <w:col w:w="11380"/>
          </w:cols>
          <w:pgMar w:left="280" w:top="222" w:right="239" w:bottom="1440" w:gutter="0" w:footer="0" w:header="0"/>
          <w:type w:val="continuous"/>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154940</wp:posOffset>
            </wp:positionV>
            <wp:extent cx="72009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2009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40"/>
        <w:spacing w:after="0" w:line="282" w:lineRule="auto"/>
        <w:rPr>
          <w:rFonts w:ascii="Times New Roman" w:cs="Times New Roman" w:eastAsia="Times New Roman" w:hAnsi="Times New Roman"/>
          <w:sz w:val="18"/>
          <w:szCs w:val="18"/>
          <w:u w:val="single" w:color="auto"/>
          <w:color w:val="0000EE"/>
        </w:rPr>
      </w:pPr>
      <w:hyperlink r:id="rId260">
        <w:r>
          <w:rPr>
            <w:rFonts w:ascii="Times New Roman" w:cs="Times New Roman" w:eastAsia="Times New Roman" w:hAnsi="Times New Roman"/>
            <w:sz w:val="18"/>
            <w:szCs w:val="18"/>
            <w:u w:val="single" w:color="auto"/>
            <w:color w:val="0000EE"/>
          </w:rPr>
          <w:t>Subsidiaries of the Company (incorporated herein by reference to Exhibit 21.1 to the Company’s Registration Statement on Form S-1, filed</w:t>
        </w:r>
      </w:hyperlink>
      <w:r>
        <w:rPr>
          <w:rFonts w:ascii="Times New Roman" w:cs="Times New Roman" w:eastAsia="Times New Roman" w:hAnsi="Times New Roman"/>
          <w:sz w:val="18"/>
          <w:szCs w:val="18"/>
          <w:u w:val="single" w:color="auto"/>
          <w:color w:val="0000EE"/>
        </w:rPr>
        <w:t xml:space="preserve"> </w:t>
      </w:r>
      <w:hyperlink r:id="rId260">
        <w:r>
          <w:rPr>
            <w:rFonts w:ascii="Times New Roman" w:cs="Times New Roman" w:eastAsia="Times New Roman" w:hAnsi="Times New Roman"/>
            <w:sz w:val="18"/>
            <w:szCs w:val="18"/>
            <w:u w:val="single" w:color="auto"/>
            <w:color w:val="0000EE"/>
          </w:rPr>
          <w:t>with the SEC on October 11,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1">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34">
        <w:r>
          <w:rPr>
            <w:rFonts w:ascii="Times New Roman" w:cs="Times New Roman" w:eastAsia="Times New Roman" w:hAnsi="Times New Roman"/>
            <w:sz w:val="18"/>
            <w:szCs w:val="18"/>
            <w:u w:val="single" w:color="auto"/>
            <w:color w:val="0000EE"/>
          </w:rPr>
          <w:t>Consent of CohnReznick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638048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2">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59" w:lineRule="exact"/>
        <w:rPr>
          <w:sz w:val="20"/>
          <w:szCs w:val="20"/>
          <w:color w:val="auto"/>
        </w:rPr>
      </w:pPr>
    </w:p>
    <w:p>
      <w:pPr>
        <w:ind w:right="780"/>
        <w:spacing w:after="0" w:line="282" w:lineRule="auto"/>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Certification of Principal Executive Officer pursuant to Rules 13a-14(a) and 15d-14(a), as adopted pursuant to Section 302 of the</w:t>
        </w:r>
      </w:hyperlink>
      <w:r>
        <w:rPr>
          <w:rFonts w:ascii="Times New Roman" w:cs="Times New Roman" w:eastAsia="Times New Roman" w:hAnsi="Times New Roman"/>
          <w:sz w:val="18"/>
          <w:szCs w:val="18"/>
          <w:u w:val="single" w:color="auto"/>
          <w:color w:val="0000EE"/>
        </w:rPr>
        <w:t xml:space="preserve"> </w:t>
      </w:r>
      <w:hyperlink w:anchor="page135">
        <w:r>
          <w:rPr>
            <w:rFonts w:ascii="Times New Roman" w:cs="Times New Roman" w:eastAsia="Times New Roman" w:hAnsi="Times New Roman"/>
            <w:sz w:val="18"/>
            <w:szCs w:val="18"/>
            <w:u w:val="single" w:color="auto"/>
            <w:color w:val="0000EE"/>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3">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80"/>
        <w:spacing w:after="0" w:line="282" w:lineRule="auto"/>
        <w:rPr>
          <w:rFonts w:ascii="Times New Roman" w:cs="Times New Roman" w:eastAsia="Times New Roman" w:hAnsi="Times New Roman"/>
          <w:sz w:val="18"/>
          <w:szCs w:val="18"/>
          <w:u w:val="single" w:color="auto"/>
          <w:color w:val="0000EE"/>
        </w:rPr>
      </w:pPr>
      <w:hyperlink w:anchor="page136">
        <w:r>
          <w:rPr>
            <w:rFonts w:ascii="Times New Roman" w:cs="Times New Roman" w:eastAsia="Times New Roman" w:hAnsi="Times New Roman"/>
            <w:sz w:val="18"/>
            <w:szCs w:val="18"/>
            <w:u w:val="single" w:color="auto"/>
            <w:color w:val="0000EE"/>
          </w:rPr>
          <w:t>Certification of Principal Financial Officer pursuant to Rules 13a-14(a) and 15d-14(a), as adopted pursuant to Section 302 of the Sarbanes-</w:t>
        </w:r>
      </w:hyperlink>
      <w:hyperlink w:anchor="page136">
        <w:r>
          <w:rPr>
            <w:rFonts w:ascii="Times New Roman" w:cs="Times New Roman" w:eastAsia="Times New Roman" w:hAnsi="Times New Roman"/>
            <w:sz w:val="18"/>
            <w:szCs w:val="18"/>
            <w:u w:val="single" w:color="auto"/>
            <w:color w:val="0000EE"/>
          </w:rPr>
          <w:t>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4">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140"/>
        <w:spacing w:after="0" w:line="282" w:lineRule="auto"/>
        <w:rPr>
          <w:rFonts w:ascii="Times New Roman" w:cs="Times New Roman" w:eastAsia="Times New Roman" w:hAnsi="Times New Roman"/>
          <w:sz w:val="18"/>
          <w:szCs w:val="18"/>
          <w:u w:val="single" w:color="auto"/>
          <w:color w:val="0000EE"/>
        </w:rPr>
      </w:pPr>
      <w:hyperlink w:anchor="page137">
        <w:r>
          <w:rPr>
            <w:rFonts w:ascii="Times New Roman" w:cs="Times New Roman" w:eastAsia="Times New Roman" w:hAnsi="Times New Roman"/>
            <w:sz w:val="18"/>
            <w:szCs w:val="18"/>
            <w:u w:val="single" w:color="auto"/>
            <w:color w:val="0000EE"/>
          </w:rPr>
          <w:t>Certification of Principal Executive Officer pursuant to 18 U.S.C Section 1350, as adopted pursuant to Section 906 of the Sarbanes-Oxley</w:t>
        </w:r>
      </w:hyperlink>
      <w:r>
        <w:rPr>
          <w:rFonts w:ascii="Times New Roman" w:cs="Times New Roman" w:eastAsia="Times New Roman" w:hAnsi="Times New Roman"/>
          <w:sz w:val="18"/>
          <w:szCs w:val="18"/>
          <w:u w:val="single" w:color="auto"/>
          <w:color w:val="0000EE"/>
        </w:rPr>
        <w:t xml:space="preserve"> </w:t>
      </w:r>
      <w:hyperlink w:anchor="page137">
        <w:r>
          <w:rPr>
            <w:rFonts w:ascii="Times New Roman" w:cs="Times New Roman" w:eastAsia="Times New Roman" w:hAnsi="Times New Roman"/>
            <w:sz w:val="18"/>
            <w:szCs w:val="18"/>
            <w:u w:val="single" w:color="auto"/>
            <w:color w:val="0000EE"/>
          </w:rPr>
          <w:t>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5">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96" w:lineRule="exact"/>
        <w:rPr>
          <w:sz w:val="20"/>
          <w:szCs w:val="20"/>
          <w:color w:val="auto"/>
        </w:rPr>
      </w:pPr>
    </w:p>
    <w:p>
      <w:pPr>
        <w:ind w:right="200"/>
        <w:spacing w:after="0" w:line="282" w:lineRule="auto"/>
        <w:rPr>
          <w:rFonts w:ascii="Times New Roman" w:cs="Times New Roman" w:eastAsia="Times New Roman" w:hAnsi="Times New Roman"/>
          <w:sz w:val="18"/>
          <w:szCs w:val="18"/>
          <w:u w:val="single" w:color="auto"/>
          <w:color w:val="0000EE"/>
        </w:rPr>
      </w:pPr>
      <w:hyperlink w:anchor="page138">
        <w:r>
          <w:rPr>
            <w:rFonts w:ascii="Times New Roman" w:cs="Times New Roman" w:eastAsia="Times New Roman" w:hAnsi="Times New Roman"/>
            <w:sz w:val="18"/>
            <w:szCs w:val="18"/>
            <w:u w:val="single" w:color="auto"/>
            <w:color w:val="0000EE"/>
          </w:rPr>
          <w:t>Certification of Principal Financial Officer pursuant to 18 U.S.C Section 1350, as adopted pursuant to Section 906 of the Sarbanes-Oxley</w:t>
        </w:r>
      </w:hyperlink>
      <w:r>
        <w:rPr>
          <w:rFonts w:ascii="Times New Roman" w:cs="Times New Roman" w:eastAsia="Times New Roman" w:hAnsi="Times New Roman"/>
          <w:sz w:val="18"/>
          <w:szCs w:val="18"/>
          <w:u w:val="single" w:color="auto"/>
          <w:color w:val="0000EE"/>
        </w:rPr>
        <w:t xml:space="preserve"> </w:t>
      </w:r>
      <w:hyperlink w:anchor="page138">
        <w:r>
          <w:rPr>
            <w:rFonts w:ascii="Times New Roman" w:cs="Times New Roman" w:eastAsia="Times New Roman" w:hAnsi="Times New Roman"/>
            <w:sz w:val="18"/>
            <w:szCs w:val="18"/>
            <w:u w:val="single" w:color="auto"/>
            <w:color w:val="0000EE"/>
          </w:rPr>
          <w:t>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638048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6">
                      <a:extLst>
                        <a:ext uri="{28A0092B-C50C-407E-A947-70E740481C1C}"/>
                      </a:extLst>
                    </a:blip>
                    <a:srcRect/>
                    <a:stretch>
                      <a:fillRect/>
                    </a:stretch>
                  </pic:blipFill>
                  <pic:spPr bwMode="auto">
                    <a:xfrm>
                      <a:off x="0" y="0"/>
                      <a:ext cx="6380480" cy="1714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371475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580" w:space="720"/>
            <w:col w:w="10080"/>
          </w:cols>
          <w:pgMar w:left="280" w:top="222" w:right="239" w:bottom="1440" w:gutter="0" w:footer="0" w:header="0"/>
          <w:type w:val="continuous"/>
        </w:sectPr>
      </w:pPr>
    </w:p>
    <w:bookmarkStart w:id="102" w:name="page103"/>
    <w:bookmarkEnd w:id="102"/>
    <w:tbl>
      <w:tblPr>
        <w:tblLayout w:type="fixed"/>
        <w:tblInd w:w="4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9520" w:type="dxa"/>
            <w:vAlign w:val="bottom"/>
          </w:tcPr>
          <w:p>
            <w:pPr>
              <w:spacing w:after="0"/>
              <w:rPr>
                <w:sz w:val="13"/>
                <w:szCs w:val="13"/>
                <w:color w:val="auto"/>
              </w:rPr>
            </w:pPr>
          </w:p>
        </w:tc>
        <w:tc>
          <w:tcPr>
            <w:tcW w:w="1020" w:type="dxa"/>
            <w:vAlign w:val="bottom"/>
            <w:tcBorders>
              <w:bottom w:val="single" w:sz="8" w:color="0000EE"/>
            </w:tcBorders>
          </w:tcPr>
          <w:p>
            <w:pPr>
              <w:spacing w:after="0"/>
              <w:rPr>
                <w:rFonts w:ascii="Times New Roman" w:cs="Times New Roman" w:eastAsia="Times New Roman" w:hAnsi="Times New Roman"/>
                <w:sz w:val="14"/>
                <w:szCs w:val="14"/>
                <w:color w:val="0000EE"/>
                <w:w w:val="99"/>
              </w:rPr>
            </w:pPr>
            <w:hyperlink w:anchor="page3">
              <w:r>
                <w:rPr>
                  <w:rFonts w:ascii="Times New Roman" w:cs="Times New Roman" w:eastAsia="Times New Roman" w:hAnsi="Times New Roman"/>
                  <w:sz w:val="14"/>
                  <w:szCs w:val="14"/>
                  <w:color w:val="0000EE"/>
                  <w:w w:val="99"/>
                </w:rPr>
                <w:t>Table of Contents</w:t>
              </w:r>
            </w:hyperlink>
          </w:p>
        </w:tc>
      </w:tr>
      <w:tr>
        <w:trPr>
          <w:trHeight w:val="569"/>
        </w:trPr>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4"/>
              </w:rPr>
              <w:t>101*</w:t>
            </w:r>
          </w:p>
        </w:tc>
        <w:tc>
          <w:tcPr>
            <w:tcW w:w="105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following materials from ADMA Biologics, Inc. Form 10-K for the year ended December 31, 2017, formatted in Extensible Business</w:t>
            </w:r>
          </w:p>
        </w:tc>
      </w:tr>
      <w:tr>
        <w:trPr>
          <w:trHeight w:val="234"/>
        </w:trPr>
        <w:tc>
          <w:tcPr>
            <w:tcW w:w="840" w:type="dxa"/>
            <w:vAlign w:val="bottom"/>
          </w:tcPr>
          <w:p>
            <w:pPr>
              <w:spacing w:after="0"/>
              <w:rPr>
                <w:sz w:val="20"/>
                <w:szCs w:val="20"/>
                <w:color w:val="auto"/>
              </w:rPr>
            </w:pPr>
          </w:p>
        </w:tc>
        <w:tc>
          <w:tcPr>
            <w:tcW w:w="105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Reporting Language (XBRL): (i) Consolidated Balance Sheets at December 31, 2017 and December 31, 2016, (ii) Consolidated</w:t>
            </w:r>
          </w:p>
        </w:tc>
      </w:tr>
    </w:tbl>
    <w:p>
      <w:pPr>
        <w:jc w:val="both"/>
        <w:ind w:left="1340" w:right="360"/>
        <w:spacing w:after="0" w:line="255" w:lineRule="auto"/>
        <w:rPr>
          <w:sz w:val="20"/>
          <w:szCs w:val="20"/>
          <w:color w:val="auto"/>
        </w:rPr>
      </w:pPr>
      <w:r>
        <w:rPr>
          <w:rFonts w:ascii="Times New Roman" w:cs="Times New Roman" w:eastAsia="Times New Roman" w:hAnsi="Times New Roman"/>
          <w:sz w:val="18"/>
          <w:szCs w:val="18"/>
          <w:color w:val="auto"/>
        </w:rPr>
        <w:t>Statements of Operations for the years ended December 31, 2017 and 2016 (iii) Consolidated Statements of Changes in Stockholders’ (Deficiency) Equity for the years ended December 31, 2017 and 2016, (iv) Consolidated Statements of Cash Flows for the years ended December 31, 2017 and 2016 and (v)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21233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20" w:lineRule="exact"/>
        <w:rPr>
          <w:sz w:val="20"/>
          <w:szCs w:val="20"/>
          <w:color w:val="auto"/>
        </w:rPr>
      </w:pPr>
    </w:p>
    <w:p>
      <w:pPr>
        <w:ind w:right="40" w:firstLine="8"/>
        <w:spacing w:after="0" w:line="282" w:lineRule="auto"/>
        <w:tabs>
          <w:tab w:leader="none" w:pos="14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as to certain portions of this exhibit. Such portions have been redacted and submitted separately to the SEC.</w:t>
      </w:r>
    </w:p>
    <w:p>
      <w:pPr>
        <w:spacing w:after="0" w:line="162" w:lineRule="exact"/>
        <w:rPr>
          <w:sz w:val="20"/>
          <w:szCs w:val="20"/>
          <w:color w:val="auto"/>
        </w:rPr>
      </w:pPr>
    </w:p>
    <w:p>
      <w:pPr>
        <w:ind w:right="100" w:firstLine="8"/>
        <w:spacing w:after="0" w:line="282" w:lineRule="auto"/>
        <w:tabs>
          <w:tab w:leader="none" w:pos="2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with respect as to certain portions of this exhibit. Such portions have been redacted and submitted separately to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compensatory plan, contract or arrangement.</w:t>
      </w:r>
    </w:p>
    <w:p>
      <w:pPr>
        <w:sectPr>
          <w:pgSz w:w="11900" w:h="16838" w:orient="portrait"/>
          <w:cols w:equalWidth="0" w:num="1">
            <w:col w:w="11420"/>
          </w:cols>
          <w:pgMar w:left="240" w:top="222" w:right="239" w:bottom="1440" w:gutter="0" w:footer="0" w:header="0"/>
        </w:sectPr>
      </w:pPr>
    </w:p>
    <w:bookmarkStart w:id="103" w:name="page104"/>
    <w:bookmarkEnd w:id="103"/>
    <w:p>
      <w:pPr>
        <w:jc w:val="both"/>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MANUFACTURING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MANUFACTURING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effective as of September 30, 2011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Biotest Pharmaceuticals Corporation</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BPC</w:t>
      </w:r>
      <w:r>
        <w:rPr>
          <w:rFonts w:ascii="Times New Roman" w:cs="Times New Roman" w:eastAsia="Times New Roman" w:hAnsi="Times New Roman"/>
          <w:sz w:val="18"/>
          <w:szCs w:val="18"/>
          <w:color w:val="auto"/>
        </w:rPr>
        <w:t>”), having its principal place of business at 5800 Park of Commerce Boulevard NW,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Boca Raton, Florida 33487, and </w:t>
      </w:r>
      <w:r>
        <w:rPr>
          <w:rFonts w:ascii="Times New Roman" w:cs="Times New Roman" w:eastAsia="Times New Roman" w:hAnsi="Times New Roman"/>
          <w:sz w:val="18"/>
          <w:szCs w:val="18"/>
          <w:b w:val="1"/>
          <w:bCs w:val="1"/>
          <w:color w:val="auto"/>
        </w:rPr>
        <w:t>Sanofi Pasteur S.A.</w:t>
      </w:r>
      <w:r>
        <w:rPr>
          <w:rFonts w:ascii="Times New Roman" w:cs="Times New Roman" w:eastAsia="Times New Roman" w:hAnsi="Times New Roman"/>
          <w:sz w:val="18"/>
          <w:szCs w:val="18"/>
          <w:color w:val="auto"/>
        </w:rPr>
        <w:t>, a company existing and organized under the laws of France (“</w:t>
      </w:r>
      <w:r>
        <w:rPr>
          <w:rFonts w:ascii="Times New Roman" w:cs="Times New Roman" w:eastAsia="Times New Roman" w:hAnsi="Times New Roman"/>
          <w:sz w:val="18"/>
          <w:szCs w:val="18"/>
          <w:b w:val="1"/>
          <w:bCs w:val="1"/>
          <w:color w:val="auto"/>
        </w:rPr>
        <w:t>Sanofi Pasteur</w:t>
      </w:r>
      <w:r>
        <w:rPr>
          <w:rFonts w:ascii="Times New Roman" w:cs="Times New Roman" w:eastAsia="Times New Roman" w:hAnsi="Times New Roman"/>
          <w:sz w:val="18"/>
          <w:szCs w:val="18"/>
          <w:color w:val="auto"/>
        </w:rPr>
        <w:t>”), having its registered head office at 2, avenue Pont Pasteur, 69007, Lyon, France.</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 Manufacturing Agreement was entered into between Sanofi Pasteur and Nabi Biopharmaceuticals, with an effective date of April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2006, which was subsequently amended on March 9, 2007, for the production of Rabies Fraction II Paste for Sanofi Pasteur from human plasma containing rabies antibodies (the “</w:t>
      </w:r>
      <w:r>
        <w:rPr>
          <w:rFonts w:ascii="Times New Roman" w:cs="Times New Roman" w:eastAsia="Times New Roman" w:hAnsi="Times New Roman"/>
          <w:sz w:val="18"/>
          <w:szCs w:val="18"/>
          <w:b w:val="1"/>
          <w:bCs w:val="1"/>
          <w:color w:val="auto"/>
        </w:rPr>
        <w:t>Nabi Agreement</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Nabi Agreement was subsequently assigned to BPC on December 4, 2007;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Nabi Agreement expired on April 7, 2011; and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entered into a related agreement wherein BPC will provide Sanofi Pasteur with hyperimmune rabies plasma (the “</w:t>
      </w:r>
      <w:r>
        <w:rPr>
          <w:rFonts w:ascii="Times New Roman" w:cs="Times New Roman" w:eastAsia="Times New Roman" w:hAnsi="Times New Roman"/>
          <w:sz w:val="18"/>
          <w:szCs w:val="18"/>
          <w:b w:val="1"/>
          <w:bCs w:val="1"/>
          <w:color w:val="auto"/>
        </w:rPr>
        <w:t>Plasma Supply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respective covenants, agreements, representations, and warranties contained herein, the parties hereto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5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ARTICLE 1.</w:t>
        <w:tab/>
        <w:t>DEFINITIONS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means the Federal Food, Drug, and Cosmetic Act, as amended (21 U.S.C. § 321 et seq.), and the regulations promulgated thereunder.</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any Person that controls, is controlled by, or is under common control with a party hereto.</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AFSSAPS</w:t>
      </w:r>
      <w:r>
        <w:rPr>
          <w:rFonts w:ascii="Times New Roman" w:cs="Times New Roman" w:eastAsia="Times New Roman" w:hAnsi="Times New Roman"/>
          <w:sz w:val="17"/>
          <w:szCs w:val="17"/>
          <w:color w:val="auto"/>
        </w:rPr>
        <w:t>” means the French health products safety agency or any successor entity thereto.</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Batch</w:t>
      </w:r>
      <w:r>
        <w:rPr>
          <w:rFonts w:ascii="Times New Roman" w:cs="Times New Roman" w:eastAsia="Times New Roman" w:hAnsi="Times New Roman"/>
          <w:sz w:val="18"/>
          <w:szCs w:val="18"/>
          <w:color w:val="auto"/>
        </w:rPr>
        <w:t>” means a specific quantity of Product (manufactured from approximately [***] liters of source plasma) that is intended to be of uniform character and quality, processed in accordance with the Specifications, manufacturing process and cGMP, and is produced during the same cycle of manufacture as defined by the applicable Batch record.</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BPC Transition Period</w:t>
      </w:r>
      <w:r>
        <w:rPr>
          <w:rFonts w:ascii="Times New Roman" w:cs="Times New Roman" w:eastAsia="Times New Roman" w:hAnsi="Times New Roman"/>
          <w:sz w:val="18"/>
          <w:szCs w:val="18"/>
          <w:color w:val="auto"/>
        </w:rPr>
        <w:t>” means the period of time from the Effective Date of this Agreement until [***] post BPC 2012 plant shut down and until such time as BPC has received all necessary BPC regulatory approvals, all of which shall be completed in a timely manner.</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4" w:name="page105"/>
    <w:bookmarkEnd w:id="104"/>
    <w:p>
      <w:pPr>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58"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a Saturday or Sunday or (b) a day on which banking institutions located in New York, New York are permitted or required by law, executive order, or governmental decree to remain closed.</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means current Good Manufacturing Practice regulations promulgated by the FDA, as amended (21 C.F.R. Parts 210-211 and 600), and the EMA.</w:t>
      </w:r>
    </w:p>
    <w:p>
      <w:pPr>
        <w:spacing w:after="0" w:line="15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shall have the meaning set forth in Section 5.1.</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shall have the meaning set forth in the preamble.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means the European Medicines Agency, a decentralized agency of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responsible for evaluation of pharmaceutical products intended for use in the EU.</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Executed Batch Record</w:t>
      </w:r>
      <w:r>
        <w:rPr>
          <w:rFonts w:ascii="Times New Roman" w:cs="Times New Roman" w:eastAsia="Times New Roman" w:hAnsi="Times New Roman"/>
          <w:sz w:val="18"/>
          <w:szCs w:val="18"/>
          <w:color w:val="auto"/>
        </w:rPr>
        <w:t>” means an executed batch record for a Batch of Product, including a certificate of analysis and any associated deviations or investigation reports.</w:t>
      </w:r>
    </w:p>
    <w:p>
      <w:pPr>
        <w:spacing w:after="0" w:line="15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Facility</w:t>
      </w:r>
      <w:r>
        <w:rPr>
          <w:rFonts w:ascii="Times New Roman" w:cs="Times New Roman" w:eastAsia="Times New Roman" w:hAnsi="Times New Roman"/>
          <w:sz w:val="17"/>
          <w:szCs w:val="17"/>
          <w:color w:val="auto"/>
        </w:rPr>
        <w:t>” means BPC’s Boca Raton, FL facility.</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1.14</w:t>
        <w:tab/>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or any successor entity thereto.</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Firm Purchase Commitment</w:t>
      </w:r>
      <w:r>
        <w:rPr>
          <w:rFonts w:ascii="Times New Roman" w:cs="Times New Roman" w:eastAsia="Times New Roman" w:hAnsi="Times New Roman"/>
          <w:sz w:val="17"/>
          <w:szCs w:val="17"/>
          <w:color w:val="auto"/>
        </w:rPr>
        <w:t>” shall have the meaning set forth in Section 2.3.</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Full Volume Target</w:t>
      </w:r>
      <w:r>
        <w:rPr>
          <w:rFonts w:ascii="Times New Roman" w:cs="Times New Roman" w:eastAsia="Times New Roman" w:hAnsi="Times New Roman"/>
          <w:sz w:val="17"/>
          <w:szCs w:val="17"/>
          <w:color w:val="auto"/>
        </w:rPr>
        <w:t>” shall mean the manufacture of the Product from up to [***] liters of Source Plasma annually.</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1.17</w:t>
        <w:tab/>
        <w:t>“</w:t>
      </w:r>
      <w:r>
        <w:rPr>
          <w:rFonts w:ascii="Times New Roman" w:cs="Times New Roman" w:eastAsia="Times New Roman" w:hAnsi="Times New Roman"/>
          <w:sz w:val="18"/>
          <w:szCs w:val="18"/>
          <w:b w:val="1"/>
          <w:bCs w:val="1"/>
          <w:color w:val="auto"/>
        </w:rPr>
        <w:t>Health Canada</w:t>
      </w:r>
      <w:r>
        <w:rPr>
          <w:rFonts w:ascii="Times New Roman" w:cs="Times New Roman" w:eastAsia="Times New Roman" w:hAnsi="Times New Roman"/>
          <w:sz w:val="18"/>
          <w:szCs w:val="18"/>
          <w:color w:val="auto"/>
        </w:rPr>
        <w:t>” shall mean a department of the government of Canada with responsibility for national public health or any successor entity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Indemnitee</w:t>
      </w:r>
      <w:r>
        <w:rPr>
          <w:rFonts w:ascii="Times New Roman" w:cs="Times New Roman" w:eastAsia="Times New Roman" w:hAnsi="Times New Roman"/>
          <w:sz w:val="17"/>
          <w:szCs w:val="17"/>
          <w:color w:val="auto"/>
        </w:rPr>
        <w:t>” shall have the meaning set forth in Section 6.3.</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Indemnitor</w:t>
      </w:r>
      <w:r>
        <w:rPr>
          <w:rFonts w:ascii="Times New Roman" w:cs="Times New Roman" w:eastAsia="Times New Roman" w:hAnsi="Times New Roman"/>
          <w:sz w:val="17"/>
          <w:szCs w:val="17"/>
          <w:color w:val="auto"/>
        </w:rPr>
        <w:t>” shall have the meaning set forth in Section 6.3.</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1.20</w:t>
        <w:tab/>
        <w:t>“</w:t>
      </w:r>
      <w:r>
        <w:rPr>
          <w:rFonts w:ascii="Times New Roman" w:cs="Times New Roman" w:eastAsia="Times New Roman" w:hAnsi="Times New Roman"/>
          <w:sz w:val="18"/>
          <w:szCs w:val="18"/>
          <w:b w:val="1"/>
          <w:bCs w:val="1"/>
          <w:color w:val="auto"/>
        </w:rPr>
        <w:t>Annual Forecast</w:t>
      </w:r>
      <w:r>
        <w:rPr>
          <w:rFonts w:ascii="Times New Roman" w:cs="Times New Roman" w:eastAsia="Times New Roman" w:hAnsi="Times New Roman"/>
          <w:sz w:val="18"/>
          <w:szCs w:val="18"/>
          <w:color w:val="auto"/>
        </w:rPr>
        <w:t>” shall have the meaning set forth in Section 2.2.</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PEI (Germany</w:t>
      </w:r>
      <w:r>
        <w:rPr>
          <w:rFonts w:ascii="Times New Roman" w:cs="Times New Roman" w:eastAsia="Times New Roman" w:hAnsi="Times New Roman"/>
          <w:sz w:val="17"/>
          <w:szCs w:val="17"/>
          <w:color w:val="auto"/>
        </w:rPr>
        <w:t>)” shall mean the Paul-Ehrlich-Institut, an agency of the German Federal Ministry of Health or any successor entity thereto.</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corporation, limited liability company, partnership, association, trust or other entity or organization.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Product Price</w:t>
      </w:r>
      <w:r>
        <w:rPr>
          <w:rFonts w:ascii="Times New Roman" w:cs="Times New Roman" w:eastAsia="Times New Roman" w:hAnsi="Times New Roman"/>
          <w:sz w:val="17"/>
          <w:szCs w:val="17"/>
          <w:color w:val="auto"/>
        </w:rPr>
        <w:t>” shall have the meaning set forth in Section 3.1.</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purified Rabies Fraction II Paste manufactured from human plasma containing rabies antibodies. For avoidance of doubt, Product does not include any other fractions or by-products.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5" w:name="page106"/>
    <w:bookmarkEnd w:id="105"/>
    <w:p>
      <w:pPr>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color w:val="auto"/>
        </w:rPr>
        <w:t>Source Plasma</w:t>
      </w:r>
      <w:r>
        <w:rPr>
          <w:rFonts w:ascii="Times New Roman" w:cs="Times New Roman" w:eastAsia="Times New Roman" w:hAnsi="Times New Roman"/>
          <w:sz w:val="18"/>
          <w:szCs w:val="18"/>
          <w:color w:val="auto"/>
        </w:rPr>
        <w:t>” means the human anti-rabies plasma supplied by Sanofi Pasteur to BPC under the terms of this Agreement pursuant to the terms of a separate source plasma supply agreement between the parties or otherwise provided from external sources.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color w:val="auto"/>
        </w:rPr>
        <w:t>Specifications</w:t>
      </w:r>
      <w:r>
        <w:rPr>
          <w:rFonts w:ascii="Times New Roman" w:cs="Times New Roman" w:eastAsia="Times New Roman" w:hAnsi="Times New Roman"/>
          <w:sz w:val="18"/>
          <w:szCs w:val="18"/>
          <w:color w:val="auto"/>
        </w:rPr>
        <w:t xml:space="preserve">” means the specifications for the Product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may be amended from time to time upon the written agreement of BPC and Sanofi Pasteur.</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Sanofi Transition Period</w:t>
      </w:r>
      <w:r>
        <w:rPr>
          <w:rFonts w:ascii="Times New Roman" w:cs="Times New Roman" w:eastAsia="Times New Roman" w:hAnsi="Times New Roman"/>
          <w:sz w:val="18"/>
          <w:szCs w:val="18"/>
          <w:color w:val="auto"/>
        </w:rPr>
        <w:t>” means the period during all conformance batches, all regulatory approvals and transfer of manufacturing responsibility to BPC for all manufacturing of Product are completed, all of which shall be completed in a timely manner.</w:t>
      </w:r>
    </w:p>
    <w:p>
      <w:pPr>
        <w:spacing w:after="0" w:line="15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ARTICLE 2.</w:t>
      </w:r>
      <w:r>
        <w:rPr>
          <w:sz w:val="20"/>
          <w:szCs w:val="20"/>
          <w:color w:val="auto"/>
        </w:rPr>
        <w:tab/>
      </w:r>
      <w:r>
        <w:rPr>
          <w:rFonts w:ascii="Times New Roman" w:cs="Times New Roman" w:eastAsia="Times New Roman" w:hAnsi="Times New Roman"/>
          <w:sz w:val="17"/>
          <w:szCs w:val="17"/>
          <w:b w:val="1"/>
          <w:bCs w:val="1"/>
          <w:color w:val="auto"/>
        </w:rPr>
        <w:t>SUPPLY OF PRODUCT</w:t>
      </w:r>
    </w:p>
    <w:p>
      <w:pPr>
        <w:spacing w:after="0" w:line="22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Supply of Product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Subject to the provisions of this Agreement, Sanofi Pasteur shall purchase exclusively from BPC, Sanofi Pasteur’s worldwide requirements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w:t>
      </w:r>
    </w:p>
    <w:p>
      <w:pPr>
        <w:spacing w:after="0" w:line="207" w:lineRule="exact"/>
        <w:rPr>
          <w:sz w:val="20"/>
          <w:szCs w:val="20"/>
          <w:color w:val="auto"/>
        </w:rPr>
      </w:pPr>
    </w:p>
    <w:p>
      <w:pPr>
        <w:jc w:val="both"/>
        <w:ind w:firstLine="656"/>
        <w:spacing w:after="0" w:line="266" w:lineRule="auto"/>
        <w:tabs>
          <w:tab w:leader="none" w:pos="9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Annual Forecast requirements as set forth in Section 2.2 of the Agreement, and subject to Section 2.1 (c), BPC shall manufacture the Product from up to [***] liters of Source Plasma annually (the “</w:t>
      </w:r>
      <w:r>
        <w:rPr>
          <w:rFonts w:ascii="Times New Roman" w:cs="Times New Roman" w:eastAsia="Times New Roman" w:hAnsi="Times New Roman"/>
          <w:sz w:val="18"/>
          <w:szCs w:val="18"/>
          <w:b w:val="1"/>
          <w:bCs w:val="1"/>
          <w:color w:val="auto"/>
        </w:rPr>
        <w:t>Full Volume Target</w:t>
      </w:r>
      <w:r>
        <w:rPr>
          <w:rFonts w:ascii="Times New Roman" w:cs="Times New Roman" w:eastAsia="Times New Roman" w:hAnsi="Times New Roman"/>
          <w:sz w:val="18"/>
          <w:szCs w:val="18"/>
          <w:color w:val="auto"/>
        </w:rPr>
        <w:t>”). BPC understands that after both Sanofi and BPC Transition Periods, BPC will be Sanofi Pasteur’s sole manufacturing source for manufacture of the Product.</w:t>
      </w:r>
    </w:p>
    <w:p>
      <w:pPr>
        <w:spacing w:after="0" w:line="176" w:lineRule="exact"/>
        <w:rPr>
          <w:rFonts w:ascii="Times New Roman" w:cs="Times New Roman" w:eastAsia="Times New Roman" w:hAnsi="Times New Roman"/>
          <w:sz w:val="18"/>
          <w:szCs w:val="18"/>
          <w:color w:val="auto"/>
        </w:rPr>
      </w:pPr>
    </w:p>
    <w:p>
      <w:pPr>
        <w:jc w:val="both"/>
        <w:ind w:firstLine="656"/>
        <w:spacing w:after="0" w:line="256" w:lineRule="auto"/>
        <w:tabs>
          <w:tab w:leader="none" w:pos="89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both Sanofi and BPC Transition Periods, BPC will agree to use [***] to manufacture the Product, from up to [***] liters of Source Plasma annually, to be equally distributed based on availability of Source Plasma, through the course of the year. For purpose of clarity, in the event BPC temporarily shuts down its plant for maintenance or upgrades after the BPC Transition Period, BPC shall make all the necessary arrangements to reasonably accommodate Sanofi Pasteur’s volume needs in accordance with the Firm Purchase Commitment as described in Section 2.3. BPC will agree to use [***] for all manufacturing requested above [***] liters of Source Plasma annually based on BPC’s available capacity and ability to accommodate such additional volumes.</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Product supplied to Sanofi Pasteur shall be packaged and labeled as defined by Sanofi Pasteur and shall be shipped in accordance with Sanofi Pasteur’s purchase orders therefore. Except to the extent the parties may otherwise agree with respect to a particular shipment, the Product shall be ordered by Sanofi Pasteur pursuant to annual written Sanofi Pasteur purchase orders, which shall be sent to BPC on or before [***] of each year during the term of this Agreement. It is understood between the parties that such annual purchase order shall be fully consistent with the discussions the parties shall hold pursuant to Section 2.2. BPC shall supply the Product resulting from processing of approximately [***] liters per Batch, as specified in the annual purchase order, of Source Plasma supplied by Sanofi Pasteur and shall deliver such Product to Sanofi Pasteur within [***] of the delivery dates specified in such purchase order.</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6" w:name="page107"/>
    <w:bookmarkEnd w:id="106"/>
    <w:p>
      <w:pPr>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jc w:val="both"/>
        <w:ind w:firstLine="656"/>
        <w:spacing w:after="0" w:line="261" w:lineRule="auto"/>
        <w:tabs>
          <w:tab w:leader="none" w:pos="9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BPC Transition Period and the Sanofi Transition Period, Sanofi Pasteur and BPC will mutually agree on the number of Batches of Product to be manufactured by BPC. The parties will meet to discuss in good faith and agree on the timely completion of such transfer. As part of the FDA and, AFSSAPS or EMA approval processes, BPC will manufacture [***] conformance batches as ordered by Sanofi Pasteur under the terms and conditions of this Agreement.</w:t>
      </w:r>
    </w:p>
    <w:p>
      <w:pPr>
        <w:spacing w:after="0" w:line="180" w:lineRule="exact"/>
        <w:rPr>
          <w:rFonts w:ascii="Times New Roman" w:cs="Times New Roman" w:eastAsia="Times New Roman" w:hAnsi="Times New Roman"/>
          <w:sz w:val="18"/>
          <w:szCs w:val="18"/>
          <w:color w:val="auto"/>
        </w:rPr>
      </w:pPr>
    </w:p>
    <w:p>
      <w:pPr>
        <w:jc w:val="both"/>
        <w:ind w:firstLine="656"/>
        <w:spacing w:after="0" w:line="256" w:lineRule="auto"/>
        <w:tabs>
          <w:tab w:leader="none" w:pos="8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BPC Transition Period and the Sanofi Transition Period, Sanofi Pasteur shall purchase a minimum of [***] Batches during a calendar year if and when (i) Sanofi Pasteur is authorized by the FDA, the AFSSAPS, PEI (Germany) and Health Canada to market any product manufactured from the Product; and (ii) the parties will have agreed in writing on the quality agreement and on the Quantity Range as defined in Section 3.1 below. The minimum purchase requirement of [***] Batches is conditional on BPC supplying Source Plasma in sufficient quantities and at sufficient rabies antibody levels that such Batches would be useable for further production of Sanofi Pasteur’s final rabies hyperimmune plasma product. However, such obligation to purchase a minimum of [***] Batches in a calendar year shall not apply to the Sanofi Transition Period and BPC Transition Period.</w:t>
      </w:r>
    </w:p>
    <w:p>
      <w:pPr>
        <w:spacing w:after="0" w:line="18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Annual Forecast</w:t>
      </w:r>
      <w:r>
        <w:rPr>
          <w:rFonts w:ascii="Times New Roman" w:cs="Times New Roman" w:eastAsia="Times New Roman" w:hAnsi="Times New Roman"/>
          <w:sz w:val="17"/>
          <w:szCs w:val="17"/>
          <w:color w:val="auto"/>
        </w:rPr>
        <w:t>. The parties agree that after the BPC Transition Period and Sanofi Transition Period:</w:t>
      </w:r>
    </w:p>
    <w:p>
      <w:pPr>
        <w:spacing w:after="0" w:line="225" w:lineRule="exact"/>
        <w:rPr>
          <w:sz w:val="20"/>
          <w:szCs w:val="20"/>
          <w:color w:val="auto"/>
        </w:rPr>
      </w:pPr>
    </w:p>
    <w:p>
      <w:pPr>
        <w:jc w:val="both"/>
        <w:ind w:firstLine="656"/>
        <w:spacing w:after="0" w:line="261" w:lineRule="auto"/>
        <w:tabs>
          <w:tab w:leader="none" w:pos="89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Pasteur shall provide BPC with a preliminary estimate of the yearly production volume for the following year no later than [***] of each calendar year. Sanofi Pasteur shall provide a final yearly production volume forecast for the following year, no later than [***] of each calendar year, provided BPC supplies Sanofi Pasteur with its forecasted immunization programs and volumes, and estimated Source Plasma delivery dates in accordance with the Plasma Supply Agreement.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Firm Purchase Commitment</w:t>
      </w:r>
      <w:r>
        <w:rPr>
          <w:rFonts w:ascii="Times New Roman" w:cs="Times New Roman" w:eastAsia="Times New Roman" w:hAnsi="Times New Roman"/>
          <w:sz w:val="18"/>
          <w:szCs w:val="18"/>
          <w:color w:val="auto"/>
        </w:rPr>
        <w:t>. Based on a good faith negotiation and the estimated Source Plasma delivery dates as set forth in Section 2.2, between the parties with respect to the Annual Forecast of quantities of Product, Sanofi Pasteur shall, on or before [***] of each year during the term of this Agreement, provide BPC with a binding purchase order (the “</w:t>
      </w:r>
      <w:r>
        <w:rPr>
          <w:rFonts w:ascii="Times New Roman" w:cs="Times New Roman" w:eastAsia="Times New Roman" w:hAnsi="Times New Roman"/>
          <w:sz w:val="18"/>
          <w:szCs w:val="18"/>
          <w:b w:val="1"/>
          <w:bCs w:val="1"/>
          <w:color w:val="auto"/>
        </w:rPr>
        <w:t>Firm Purchase Commitment</w:t>
      </w:r>
      <w:r>
        <w:rPr>
          <w:rFonts w:ascii="Times New Roman" w:cs="Times New Roman" w:eastAsia="Times New Roman" w:hAnsi="Times New Roman"/>
          <w:sz w:val="18"/>
          <w:szCs w:val="18"/>
          <w:color w:val="auto"/>
        </w:rPr>
        <w:t>”) for Product to be purchased the following calendar year, with an estimated quarterly volume breakdown and Product delivery dates. BPC shall confirm its agreement with the Firm Purchase Commitment in writing within</w:t>
      </w:r>
    </w:p>
    <w:p>
      <w:pPr>
        <w:spacing w:after="0" w:line="3" w:lineRule="exact"/>
        <w:rPr>
          <w:sz w:val="20"/>
          <w:szCs w:val="20"/>
          <w:color w:val="auto"/>
        </w:rPr>
      </w:pPr>
    </w:p>
    <w:p>
      <w:pPr>
        <w:ind w:left="660" w:right="1520" w:hanging="652"/>
        <w:spacing w:after="0" w:line="488" w:lineRule="auto"/>
        <w:tabs>
          <w:tab w:leader="none" w:pos="4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of the receipt of the Sanofi Pasteur purchase order. This Firm Purchase Commitment shall be binding on the parties. 2.4 </w:t>
      </w:r>
      <w:r>
        <w:rPr>
          <w:rFonts w:ascii="Times New Roman" w:cs="Times New Roman" w:eastAsia="Times New Roman" w:hAnsi="Times New Roman"/>
          <w:sz w:val="18"/>
          <w:szCs w:val="18"/>
          <w:u w:val="single" w:color="auto"/>
          <w:color w:val="auto"/>
        </w:rPr>
        <w:t>Final Quarterly Commitment</w:t>
      </w:r>
      <w:r>
        <w:rPr>
          <w:rFonts w:ascii="Times New Roman" w:cs="Times New Roman" w:eastAsia="Times New Roman" w:hAnsi="Times New Roman"/>
          <w:sz w:val="18"/>
          <w:szCs w:val="18"/>
          <w:color w:val="auto"/>
        </w:rPr>
        <w:t>.</w:t>
      </w:r>
    </w:p>
    <w:p>
      <w:pPr>
        <w:ind w:firstLine="656"/>
        <w:spacing w:after="0" w:line="286" w:lineRule="auto"/>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quarterly quantities and Product delivery dates (the “</w:t>
      </w:r>
      <w:r>
        <w:rPr>
          <w:rFonts w:ascii="Times New Roman" w:cs="Times New Roman" w:eastAsia="Times New Roman" w:hAnsi="Times New Roman"/>
          <w:sz w:val="18"/>
          <w:szCs w:val="18"/>
          <w:b w:val="1"/>
          <w:bCs w:val="1"/>
          <w:color w:val="auto"/>
        </w:rPr>
        <w:t>Final Quarterly Commitment</w:t>
      </w:r>
      <w:r>
        <w:rPr>
          <w:rFonts w:ascii="Times New Roman" w:cs="Times New Roman" w:eastAsia="Times New Roman" w:hAnsi="Times New Roman"/>
          <w:sz w:val="18"/>
          <w:szCs w:val="18"/>
          <w:color w:val="auto"/>
        </w:rPr>
        <w:t>”) shall be requested by Sanofi Pasteur in writing, on a quarterly basis, as follows:</w:t>
      </w:r>
    </w:p>
    <w:p>
      <w:pPr>
        <w:spacing w:after="0" w:line="158"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 of each calendar year for the [***] Quarter of the next year;</w:t>
      </w:r>
    </w:p>
    <w:p>
      <w:pPr>
        <w:spacing w:after="0" w:line="2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 of each calendar year for the [***] Quarter of the same year;</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 of each calendar year for the [***] Quarter of the same year; and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7" w:name="page108"/>
    <w:bookmarkEnd w:id="107"/>
    <w:p>
      <w:pPr>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ind w:left="1620" w:hanging="315"/>
        <w:spacing w:after="0"/>
        <w:tabs>
          <w:tab w:leader="none" w:pos="16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 of each calendar year for the [***] Quarter of the same year.</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3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further agree that the Final Quarterly Commitment requested by Sanofi Pasteur shall be automatically binding on the parties, provided such quantities and Source Plasma and Product delivery dates are the same as described in the Firm Purchase Commitment. If the Final Quarterly Commitment differs in any material respect from the Firm Purchase Commitment, BPC shall approve and confirm in writing, within [***] Business Days of the receipt of the Sanofi Pasteur‘s Final Quarterly Commitment based on BPC’s ability to accommodate such changes in its manufacturing schedule. Additionally, such obligation is contingent on Sanofi Pasteur receiving the agreed upon production of Source Plasma from BPC under the Plasma Supply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89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Sanofi Pasteur fails to purchase any quantity stated in the Finn Purchase Commitment during any calendar year, then, at the end of such calendar year, BPC shall invoice Sanofi Pasteur and Sanofi Pasteur shall be obligated to pay BPC the difference between cancelled order(s) and Batches committed to via the Firm Purchase Commitment, provided however that the foregoing will not apply to the extent that:</w:t>
      </w:r>
    </w:p>
    <w:p>
      <w:pPr>
        <w:spacing w:after="0" w:line="176"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differently in writing;</w:t>
      </w:r>
    </w:p>
    <w:p>
      <w:pPr>
        <w:spacing w:after="0" w:line="2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Pasteur is not able to provide Source Plasma that BPC was committed to supply; or</w:t>
      </w:r>
    </w:p>
    <w:p>
      <w:pPr>
        <w:spacing w:after="0" w:line="9" w:lineRule="exact"/>
        <w:rPr>
          <w:rFonts w:ascii="Times New Roman" w:cs="Times New Roman" w:eastAsia="Times New Roman" w:hAnsi="Times New Roman"/>
          <w:sz w:val="18"/>
          <w:szCs w:val="18"/>
          <w:color w:val="auto"/>
        </w:rPr>
      </w:pPr>
    </w:p>
    <w:p>
      <w:pPr>
        <w:jc w:val="both"/>
        <w:ind w:left="1620" w:hanging="315"/>
        <w:spacing w:after="0" w:line="255" w:lineRule="auto"/>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Batches actually purchased by Sanofi Pasteur in a calendar year is at least [***] Batches and no more than [***] Batches less than the Firm Purchase Commitment. (For example, if the Firm Purchase Commitment in a calendar year is for [***] Batches, the minimum number of Batches allowable, without penalty, will be [***] Batches.</w:t>
      </w:r>
    </w:p>
    <w:p>
      <w:pPr>
        <w:spacing w:after="0" w:line="186" w:lineRule="exact"/>
        <w:rPr>
          <w:rFonts w:ascii="Times New Roman" w:cs="Times New Roman" w:eastAsia="Times New Roman" w:hAnsi="Times New Roman"/>
          <w:sz w:val="18"/>
          <w:szCs w:val="18"/>
          <w:color w:val="auto"/>
        </w:rPr>
      </w:pPr>
    </w:p>
    <w:p>
      <w:pPr>
        <w:ind w:right="20" w:firstLine="656"/>
        <w:spacing w:after="0" w:line="282" w:lineRule="auto"/>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discuss, in good faith, reasonable delays in the delivery schedule contained in the Final Quarterly Commitment if Sanofi Pasteur is not able to obtain Source Plasma from third parties for reasons beyond the control of Sanofi Pasteur.</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0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BPC does not deliver the Product as required under the Final Quarterly Commitment within [***] days of the agreed Product delivery date and there was no prior agreement to the delay between the parties provided in writing and signed by authorized representatives:</w:t>
      </w:r>
    </w:p>
    <w:p>
      <w:pPr>
        <w:spacing w:after="0" w:line="161"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discount of [***] percent ([***]%) will be applied for such Batch(es) if delivery is [***] late;</w:t>
      </w:r>
    </w:p>
    <w:p>
      <w:pPr>
        <w:spacing w:after="0" w:line="2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discount of [***] percent ([***] %) will be applied for such Batch(es) if the delivery is [***] late; and</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discount of [***] percent ([***] %) will be applied for such Batch(es) if the delivery is [***] or more [***] late.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5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8" w:name="page109"/>
    <w:bookmarkEnd w:id="108"/>
    <w:p>
      <w:pPr>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Materials/Lead Times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82" w:lineRule="auto"/>
        <w:tabs>
          <w:tab w:leader="none" w:pos="8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Source Plasma, under this Agreement, BPC shall supply all raw materials for the manufacture of the Product in compliance with legal and regulatory requirements applicable to the manufacture of the Product.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Pasteur shall supply the Source Plasma to BPC for each purchase order for Products in accordance with the agreed upon delivery dates as specified in the purchase order.</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Acceptance; Right to Reject</w:t>
      </w:r>
      <w:r>
        <w:rPr>
          <w:rFonts w:ascii="Times New Roman" w:cs="Times New Roman" w:eastAsia="Times New Roman" w:hAnsi="Times New Roman"/>
          <w:sz w:val="18"/>
          <w:szCs w:val="18"/>
          <w:color w:val="auto"/>
        </w:rPr>
        <w:t>. Before release of any Product, BPC shall deliver to Sanofi Pasteur the Executed Batch Record for such Product. Within [***] Business Days after receipt of such Executed Batch Record, (i) Sanofi Pasteur shall have the right to reject the delivery of any Product if the Executed Batch Record is not satisfactory to Sanofi Pasteur; or (ii) Sanofi Pasteur shall approve the Executed Batch Record and authorize release and delivery of such Product if the Executed Batch Record is satisfactory to Sanofi Pasteur. Within [***] Business Days after receipt of Product, Sanofi Pasteur shall have the right to inspect each Batch of Product delivered, and Sanofi Pasteur shall have the right to reject as “non-conforming” the delivery of any Product in whole or in part which is: (a) not in compliance with packaging and labeling as set forth in the Specifications, or a deviation not detected by the previous examination of the Batch Record; or (b) not manufactured in accordance with cGMP, applicable FDA, AFSSAPS, PEI (Germany), and Health Canada regulations. Any Product not so rejected within said [***] Business Day period shall be deemed accepted. For the sake of clarity, Sanofi Pasteur may at any time exercise the rights Sanofi Pasteur has under this Agreement, including but not limited to the rights Sanofi Pasteur has under Article 6 (Indemnification) hereof. In the event BPC has a reasonable basis to dispute any Product rejection by Sanofi Pasteur, BPC shall give Sanofi Pasteur prompt written notice of such dispute; and if it relates to non-compliance with the Specifications, samples of the Product in question shall be submitted promptly to an independent testing laboratory, mutually agreed to by both parties or selected by an independent third party agreed to by both parties, for a retest of the results. Such retest shall be binding on the parties and the party found to be in error shall pay all retesting costs.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Remedies for Non-Conforming Product</w:t>
      </w:r>
      <w:r>
        <w:rPr>
          <w:rFonts w:ascii="Times New Roman" w:cs="Times New Roman" w:eastAsia="Times New Roman" w:hAnsi="Times New Roman"/>
          <w:sz w:val="18"/>
          <w:szCs w:val="18"/>
          <w:color w:val="auto"/>
        </w:rPr>
        <w:t>. In the event that BPC agrees that any Product rejected by Sanofi Pasteur is non-conforming as a result of the default, error, gross negligence or willful misconduct of BPC or the independent testing laboratory referred to in Section 2.6 determines that the Product is non-conforming because of non-compliance with the Specifications as a result of the default, error, gross negligence or willful misconduct solely of BPC, Sanofi Pasteur shall not be responsible for the costs associated with the processing of such Batch and BPC shall manufacture [***] Batches at no cost for Sanofi Pasteur. If a Batch of Product fails to meet Product Specifications due solely to Sanofi Pasteur’s default, error, negligence or willful misconduct, Sanofi Pasteur will be responsible for the costs associated with the processing of such Batch. If a Batch of Product fails to meet Product Specifications [***], the parties [***] such Batch and the [***] the Source Plasma [***] Batch [***] as they mutually agree, or if they cannot agree they the parties [***].</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6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9" w:name="page110"/>
    <w:bookmarkEnd w:id="109"/>
    <w:p>
      <w:pPr>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u w:val="single" w:color="auto"/>
          <w:color w:val="auto"/>
        </w:rPr>
        <w:t>Modifications; Improvements; 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900" w:hanging="244"/>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BPC shall not modify, reformulate or alter the Product without the consent of Sanofi Pasteur, which shall not be unreasonably withheld.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improvement to the manufacturing process for the Product developed or implemented by BPC during the term of this Agreement shall be the sole property of BPC. However BPC shall not implement such improvement without the prior consent of Sanofi Pasteur, which shall not be unreasonably withheld.</w:t>
      </w:r>
    </w:p>
    <w:p>
      <w:pPr>
        <w:spacing w:after="0" w:line="176"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and modifications described in Section 2.8(b) shall constitute Confidential Information of BPC.</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 Sanofi Pasteur shall be responsible for compliance with legal and regulatory requirements applicable to the manufacture, packaging, marketing, sale, distribution, and export of the Product under its control. BPC shall be responsible for compliance with legal and regulatory requirements applicable to the Facility and for manufacture of the Product. Each party shall notify the other within a reasonable amount of time (such time not to exceed [***]) after any regulatory contact or correspondence with respect to the safety and/or manufacturing conditions for the Product and shall cooperate fully with one another in the handling of such matter. Each party shall keep the other regularly informed as to regulatory developments relating to this Agreement or to the Product of which it becomes aware and which may have some impact on the manufacturing of the Product and/or on the implementation of this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Product Complaints</w:t>
      </w:r>
      <w:r>
        <w:rPr>
          <w:rFonts w:ascii="Times New Roman" w:cs="Times New Roman" w:eastAsia="Times New Roman" w:hAnsi="Times New Roman"/>
          <w:sz w:val="18"/>
          <w:szCs w:val="18"/>
          <w:color w:val="auto"/>
        </w:rPr>
        <w:t>. Sanofi Pasteur shall be responsible, with reasonable assistance provided by BPC as necessary, for handling and responding to all complaints, medical complaints, and adverse drug experience reports related to the Product.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Storage and Delivery</w:t>
      </w:r>
      <w:r>
        <w:rPr>
          <w:rFonts w:ascii="Times New Roman" w:cs="Times New Roman" w:eastAsia="Times New Roman" w:hAnsi="Times New Roman"/>
          <w:sz w:val="18"/>
          <w:szCs w:val="18"/>
          <w:color w:val="auto"/>
        </w:rPr>
        <w:t>. BPC shall not be required to store any Product for more than [***] after Sanofi Pasteur’s receipt of the import permit from the AFSSAPS with respect to such Product. BPC may assess reasonable storage charges for any Product stored for longer than [***]. After this [***] period, the parties agree that all risk of loss of or damage to the Product shall pass on to Sanofi Pasteur. For the avoidance of doubt, BPC will remain responsible for any Product that is destroyed or fails to meet the agreed specifications to the extent such destruction or non-conformance is attributable, in whole or in part, to the negligence of BPC or the failure by BPC to store product in strict conformity with cGMP guidelines and the conditions agreed by the parties for storage of Product.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Product Recalls</w:t>
      </w:r>
      <w:r>
        <w:rPr>
          <w:rFonts w:ascii="Times New Roman" w:cs="Times New Roman" w:eastAsia="Times New Roman" w:hAnsi="Times New Roman"/>
          <w:sz w:val="18"/>
          <w:szCs w:val="18"/>
          <w:color w:val="auto"/>
        </w:rPr>
        <w:t>. Sanofi Pasteur shall be responsible, with reasonable cooperation from BPC, in the event of any Product recall. It is agreed that only Sanofi Pasteur may administer the recall of the Product once the Product has been processed by Sanofi Pasteur. In addition, BPC and Sanofi Pasteur shall maintain appropriate records to administer a Product recall and BPC shall provide any information which Sanofi Pasteur shall reasonably request in order to administer a recall. The shipping, handling and other direct costs associated with any such Product recall shall be apportioned between the parties as follows: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7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0" w:name="page111"/>
    <w:bookmarkEnd w:id="110"/>
    <w:p>
      <w:pPr>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jc w:val="both"/>
        <w:ind w:firstLine="656"/>
        <w:spacing w:after="0" w:line="261" w:lineRule="auto"/>
        <w:tabs>
          <w:tab w:leader="none" w:pos="9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product recall is caused solely by a breach by BPC of any warranty set forth in Section 4.2, then BPC shall bear the costs incurred in connection with such recall and shall reimburse Sanofi Pasteur for any of such costs incurred by Sanofi Pasteur as a result of Sanofi Pasteur’s conducting such recall, provided that in no event shall BPC’s liability for such costs exceed the amount of the Product Price paid for the Products that are the subject of the Product recall; and</w:t>
      </w:r>
    </w:p>
    <w:p>
      <w:pPr>
        <w:spacing w:after="0" w:line="180" w:lineRule="exact"/>
        <w:rPr>
          <w:rFonts w:ascii="Times New Roman" w:cs="Times New Roman" w:eastAsia="Times New Roman" w:hAnsi="Times New Roman"/>
          <w:sz w:val="18"/>
          <w:szCs w:val="18"/>
          <w:color w:val="auto"/>
        </w:rPr>
      </w:pPr>
    </w:p>
    <w:p>
      <w:pPr>
        <w:ind w:right="20" w:firstLine="656"/>
        <w:spacing w:after="0" w:line="282" w:lineRule="auto"/>
        <w:tabs>
          <w:tab w:leader="none" w:pos="90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product recall is caused by any other reason, then Sanofi Pasteur shall bear the costs incurred in connection with such recall and shall reimburse BPC for any of such costs incurred by BPC as a result of BPC’s assisting Sanofi Pasteur in connection with such recall.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Title and Risk of Loss</w:t>
      </w:r>
      <w:r>
        <w:rPr>
          <w:rFonts w:ascii="Times New Roman" w:cs="Times New Roman" w:eastAsia="Times New Roman" w:hAnsi="Times New Roman"/>
          <w:sz w:val="18"/>
          <w:szCs w:val="18"/>
          <w:color w:val="auto"/>
        </w:rPr>
        <w:t>. Except as otherwise provided in Section 2.11, title to and risk of loss for each shipment of Product shall pass to Sanofi Pasteur upon delivery to the carrier at the Facility. [***]. All delivery terms shall be [***] the Facility.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Quality Agreement</w:t>
      </w:r>
      <w:r>
        <w:rPr>
          <w:rFonts w:ascii="Times New Roman" w:cs="Times New Roman" w:eastAsia="Times New Roman" w:hAnsi="Times New Roman"/>
          <w:sz w:val="18"/>
          <w:szCs w:val="18"/>
          <w:color w:val="auto"/>
        </w:rPr>
        <w:t>. Within [***] of the execution of this Agreement, or any other time limit agreed to by the parties, the respective quality representatives of the parties shall meet and negotiate in good faith a quality agreement, to be signed by authorized representatives of each party. Such quality agreement shall be incorporated within and constitute a part of this Agreement. In the event that there is any conflict between the terms of this Agreement and the quality agreement, then the terms of this Agreement shall be controlling.</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The parties shall establish a Steering Committee. Such “</w:t>
      </w:r>
      <w:r>
        <w:rPr>
          <w:rFonts w:ascii="Times New Roman" w:cs="Times New Roman" w:eastAsia="Times New Roman" w:hAnsi="Times New Roman"/>
          <w:sz w:val="18"/>
          <w:szCs w:val="18"/>
          <w:b w:val="1"/>
          <w:bCs w:val="1"/>
          <w:color w:val="auto"/>
        </w:rPr>
        <w:t>Steering Committee</w:t>
      </w:r>
      <w:r>
        <w:rPr>
          <w:rFonts w:ascii="Times New Roman" w:cs="Times New Roman" w:eastAsia="Times New Roman" w:hAnsi="Times New Roman"/>
          <w:sz w:val="18"/>
          <w:szCs w:val="18"/>
          <w:color w:val="auto"/>
        </w:rPr>
        <w:t>” shall be comprised of 2 to 3 senior executives from each party and shall meet on a quarterly basis. In addition to the Steering Committee, BPC and Sanofi Pasteur shall appoint project leaders (“</w:t>
      </w:r>
      <w:r>
        <w:rPr>
          <w:rFonts w:ascii="Times New Roman" w:cs="Times New Roman" w:eastAsia="Times New Roman" w:hAnsi="Times New Roman"/>
          <w:sz w:val="18"/>
          <w:szCs w:val="18"/>
          <w:b w:val="1"/>
          <w:bCs w:val="1"/>
          <w:color w:val="auto"/>
        </w:rPr>
        <w:t>Project Leaders</w:t>
      </w:r>
      <w:r>
        <w:rPr>
          <w:rFonts w:ascii="Times New Roman" w:cs="Times New Roman" w:eastAsia="Times New Roman" w:hAnsi="Times New Roman"/>
          <w:sz w:val="18"/>
          <w:szCs w:val="18"/>
          <w:color w:val="auto"/>
        </w:rPr>
        <w:t>”) for the implementation and execution of this Agreement. Such Project Leaders will interact on an as-needed basis; the frequency, location and format of such meetings and reports shall be mutually determined by the Project Leaders.</w:t>
      </w:r>
    </w:p>
    <w:p>
      <w:pPr>
        <w:spacing w:after="0" w:line="17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ARTICLE 3.</w:t>
      </w:r>
      <w:r>
        <w:rPr>
          <w:sz w:val="20"/>
          <w:szCs w:val="20"/>
          <w:color w:val="auto"/>
        </w:rPr>
        <w:tab/>
      </w:r>
      <w:r>
        <w:rPr>
          <w:rFonts w:ascii="Times New Roman" w:cs="Times New Roman" w:eastAsia="Times New Roman" w:hAnsi="Times New Roman"/>
          <w:sz w:val="17"/>
          <w:szCs w:val="17"/>
          <w:b w:val="1"/>
          <w:bCs w:val="1"/>
          <w:color w:val="auto"/>
        </w:rPr>
        <w:t>PAYMENTS</w:t>
      </w:r>
    </w:p>
    <w:p>
      <w:pPr>
        <w:spacing w:after="0" w:line="22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Product Price</w:t>
      </w:r>
      <w:r>
        <w:rPr>
          <w:rFonts w:ascii="Times New Roman" w:cs="Times New Roman" w:eastAsia="Times New Roman" w:hAnsi="Times New Roman"/>
          <w:sz w:val="18"/>
          <w:szCs w:val="18"/>
          <w:color w:val="auto"/>
        </w:rPr>
        <w:t>. The price at which BPC shall sell the Product to Sanofi Pasteur and at which Sanofi Pasteur shall purchase the Product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BPC (the “</w:t>
      </w:r>
      <w:r>
        <w:rPr>
          <w:rFonts w:ascii="Times New Roman" w:cs="Times New Roman" w:eastAsia="Times New Roman" w:hAnsi="Times New Roman"/>
          <w:sz w:val="18"/>
          <w:szCs w:val="18"/>
          <w:b w:val="1"/>
          <w:bCs w:val="1"/>
          <w:color w:val="auto"/>
        </w:rPr>
        <w:t>Product Price</w:t>
      </w:r>
      <w:r>
        <w:rPr>
          <w:rFonts w:ascii="Times New Roman" w:cs="Times New Roman" w:eastAsia="Times New Roman" w:hAnsi="Times New Roman"/>
          <w:sz w:val="18"/>
          <w:szCs w:val="18"/>
          <w:color w:val="auto"/>
        </w:rPr>
        <w:t>”) for 2011:</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Batches [***] in a calendar year - $[***] USD;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Batches [***] in a calendar year - $[***] USD;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Batches [***] in a calendar year - $[***] USD;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Batches [***] in a calendar year - $[***] USD.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8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1" w:name="page112"/>
    <w:bookmarkEnd w:id="111"/>
    <w:p>
      <w:pPr>
        <w:jc w:val="both"/>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pursuant to this Section 3.1 and Section 3.2, [***]. After production of at least [***] conformance batches but before production of any commercial batches of the Product, the parties will agree, in writing, on the quantity, within a range, of proteins to be included in the Product based on the protein values observed during production of the conformance batches (the “</w:t>
      </w:r>
      <w:r>
        <w:rPr>
          <w:rFonts w:ascii="Times New Roman" w:cs="Times New Roman" w:eastAsia="Times New Roman" w:hAnsi="Times New Roman"/>
          <w:sz w:val="18"/>
          <w:szCs w:val="18"/>
          <w:b w:val="1"/>
          <w:bCs w:val="1"/>
          <w:color w:val="auto"/>
        </w:rPr>
        <w:t>Quantity Range</w:t>
      </w:r>
      <w:r>
        <w:rPr>
          <w:rFonts w:ascii="Times New Roman" w:cs="Times New Roman" w:eastAsia="Times New Roman" w:hAnsi="Times New Roman"/>
          <w:sz w:val="18"/>
          <w:szCs w:val="18"/>
          <w:color w:val="auto"/>
        </w:rPr>
        <w:t>”). The Product Price for Batches of Product delivered which contain less than the low end of the Quantity Range of proteins will be decreased proportionally to the amount by which the quantity of proteins in the Product delivered is less than the low end of the Quantity Range. In the event that the Product delivered contain more than the high end of the Quantity Range, the parties agree that the Product Price will remain unchanged. A Quantity Range will not be in effect for production of the conformance batches.</w:t>
      </w:r>
    </w:p>
    <w:p>
      <w:pPr>
        <w:spacing w:after="0" w:line="18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Annual Increase</w:t>
      </w:r>
      <w:r>
        <w:rPr>
          <w:rFonts w:ascii="Times New Roman" w:cs="Times New Roman" w:eastAsia="Times New Roman" w:hAnsi="Times New Roman"/>
          <w:sz w:val="18"/>
          <w:szCs w:val="18"/>
          <w:color w:val="auto"/>
        </w:rPr>
        <w:t>. Beginning January 1, 2012, the Product Price shall be adjusted as of January 1 of each calendar year hereunder (the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 Year</w:t>
      </w:r>
      <w:r>
        <w:rPr>
          <w:rFonts w:ascii="Times New Roman" w:cs="Times New Roman" w:eastAsia="Times New Roman" w:hAnsi="Times New Roman"/>
          <w:sz w:val="18"/>
          <w:szCs w:val="18"/>
          <w:color w:val="auto"/>
        </w:rPr>
        <w:t>”) as follows:</w:t>
      </w:r>
    </w:p>
    <w:p>
      <w:pPr>
        <w:spacing w:after="0" w:line="159" w:lineRule="exact"/>
        <w:rPr>
          <w:sz w:val="20"/>
          <w:szCs w:val="20"/>
          <w:color w:val="auto"/>
        </w:rPr>
      </w:pPr>
    </w:p>
    <w:p>
      <w:pPr>
        <w:jc w:val="both"/>
        <w:ind w:firstLine="656"/>
        <w:spacing w:after="0" w:line="261" w:lineRule="auto"/>
        <w:tabs>
          <w:tab w:leader="none" w:pos="9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average annual percentage change in the United States Consumer Price Index for pharmaceutical preparation manufacturing PCU325412325412 published by the U.S. Department of Labor, Bureau of Labor Statistics (reference the following web link: </w:t>
      </w:r>
      <w:r>
        <w:rPr>
          <w:rFonts w:ascii="Times New Roman" w:cs="Times New Roman" w:eastAsia="Times New Roman" w:hAnsi="Times New Roman"/>
          <w:sz w:val="18"/>
          <w:szCs w:val="18"/>
          <w:u w:val="single" w:color="auto"/>
          <w:color w:val="auto"/>
        </w:rPr>
        <w:t>http://data.bls.gov/pdq/SurveyOutputServlet7series id=PCU325412325412</w:t>
      </w:r>
      <w:r>
        <w:rPr>
          <w:rFonts w:ascii="Times New Roman" w:cs="Times New Roman" w:eastAsia="Times New Roman" w:hAnsi="Times New Roman"/>
          <w:sz w:val="18"/>
          <w:szCs w:val="18"/>
          <w:color w:val="auto"/>
        </w:rPr>
        <w:t>) is calculated by [***] prior to [***] of the previous year. An example is provided below for illustrative purposes. In this case, the average annual percentage change is [***] percent ([***] %).</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020" w:type="dxa"/>
            <w:vAlign w:val="bottom"/>
            <w:tcBorders>
              <w:top w:val="single" w:sz="8" w:color="auto"/>
              <w:left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020" w:type="dxa"/>
            <w:vAlign w:val="bottom"/>
            <w:tcBorders>
              <w:left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Annual</w:t>
            </w:r>
          </w:p>
        </w:tc>
      </w:tr>
      <w:tr>
        <w:trPr>
          <w:trHeight w:val="216"/>
        </w:trPr>
        <w:tc>
          <w:tcPr>
            <w:tcW w:w="1020" w:type="dxa"/>
            <w:vAlign w:val="bottom"/>
            <w:tcBorders>
              <w:left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38"/>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Jan</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Feb</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Apr</w:t>
            </w:r>
          </w:p>
        </w:tc>
        <w:tc>
          <w:tcPr>
            <w:tcW w:w="80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May</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Jun</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Jul</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Aug</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Nov</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7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60" w:type="dxa"/>
            <w:vAlign w:val="bottom"/>
            <w:tcBorders>
              <w:bottom w:val="single" w:sz="8" w:color="auto"/>
              <w:right w:val="single" w:sz="8" w:color="auto"/>
            </w:tcBorders>
          </w:tcPr>
          <w:p>
            <w:pPr>
              <w:spacing w:after="0"/>
              <w:rPr>
                <w:sz w:val="18"/>
                <w:szCs w:val="18"/>
                <w:color w:val="auto"/>
              </w:rPr>
            </w:pP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60" w:type="dxa"/>
            <w:vAlign w:val="bottom"/>
            <w:tcBorders>
              <w:bottom w:val="single" w:sz="8" w:color="auto"/>
              <w:right w:val="single" w:sz="8" w:color="auto"/>
            </w:tcBorders>
          </w:tcPr>
          <w:p>
            <w:pPr>
              <w:spacing w:after="0"/>
              <w:rPr>
                <w:sz w:val="18"/>
                <w:szCs w:val="18"/>
                <w:color w:val="auto"/>
              </w:rPr>
            </w:pP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21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firstLine="656"/>
        <w:spacing w:after="0" w:line="282" w:lineRule="auto"/>
        <w:tabs>
          <w:tab w:leader="none" w:pos="9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average annual percentage change is [***] percent ([***]%) or less, then the actual average annual percentage change is used to adjust the Product Price for the New Price Year.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average annual percentage change is more than [***] percent ([***]%) and less than [***] percent ([***] %), then [***] percent ([***]%) will be used to adjust the Product Price for the New Price Year.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average annual percentage change is [***] percent ([***]%) or greater, then [***] percent ([***]%) of the increase above [***] percent ([***]%) is added to [***] percent ([***]%). For example, if the average annual percentage change was [***] percent ([***]%) then a [***] percent ([***]%) increase would be used to adjust the Product Price for the New Price Year.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Product Price does not include sales, use, consumption, or excise taxes of any taxing authority, which may be applicable to the Product after the execution of this Agreement. The amount of such taxes, if any, may be added to the Product Price, in effect at the time of shipment and shall be separately itemized in the invoices submitted to Sanofi Pasteur by BPC pursuant to this Agreement.</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9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2" w:name="page113"/>
    <w:bookmarkEnd w:id="112"/>
    <w:p>
      <w:pPr>
        <w:jc w:val="both"/>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Invoicing</w:t>
      </w:r>
      <w:r>
        <w:rPr>
          <w:rFonts w:ascii="Times New Roman" w:cs="Times New Roman" w:eastAsia="Times New Roman" w:hAnsi="Times New Roman"/>
          <w:sz w:val="18"/>
          <w:szCs w:val="18"/>
          <w:color w:val="auto"/>
        </w:rPr>
        <w:t>. At the time of Sanofi Pasteur’s acceptance of each Executed Batch Record for Product hereunder, BPC shall invoice Sanofi Pasteur, and Sanofi Pasteur shall pay such invoice [***] days net after receipt of such invoice. All amounts not paid when due shall be subject to interest at the rate of [***] percent ([***]%) per month (or such other amount, as shall not exceed the maximum rate permitted by law). All payments due hereunder to BPC shall be sent to BPC at the times set forth herein by wire transfer to such accounts as BPC may designate to Sanofi Pasteur.</w:t>
      </w:r>
    </w:p>
    <w:p>
      <w:pPr>
        <w:spacing w:after="0" w:line="18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Invoices to Sanofi Pasteur shall be directed to:</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Sanofi Pasteur S.A.</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Accounting Department</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2, avenue Pont Pasteur</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69367 Lyon, cedex 07</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Fax [***]</w:t>
      </w: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Inquiries and correspondence regarding invoices should be directed to:</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Sanofi Pasteur S.A.</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Accounting Department</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2, avenue Pont Pasteur</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69367 Lyon cedex 07</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Fax [***]</w:t>
      </w: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With copy to:</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Responsable, des Achats Matieres Premieres</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Sanofi Pasteur S.A.</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Campus Merieux</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1541, avenue Marcel Merieux</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69280 Marcy l'Etoile</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Fax [***]</w:t>
      </w: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Wire transfer instructions will be provided to Sanofi Pasteur by BPC under separate notice.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10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3" w:name="page114"/>
    <w:bookmarkEnd w:id="113"/>
    <w:p>
      <w:pPr>
        <w:jc w:val="both"/>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Additional Services</w:t>
      </w:r>
      <w:r>
        <w:rPr>
          <w:rFonts w:ascii="Times New Roman" w:cs="Times New Roman" w:eastAsia="Times New Roman" w:hAnsi="Times New Roman"/>
          <w:sz w:val="18"/>
          <w:szCs w:val="18"/>
          <w:color w:val="auto"/>
        </w:rPr>
        <w:t>. At Sanofi Pasteur’s written request, BPC may provide preparation of supplemental batch records and specifications, validation work, and regulatory support at BPC’s rate of $[***] per hour, plus any necessary travel and out of pocket expenses, all to the extent reasonably documented. It is agreed that such additional services are not those services BPC shall provide to be able to supply to Sanofi Pasteur the Product under the terms of this Agreement. Services provided under the terms of this Agreement include preparation of the original Batch records plus up to [***] annual revision to the original Batch records, testing as described in the Batch records and Specifications, documentation of planned and unplanned deviations from the Batch records and Specifications, and documentation and investigation of out of Specification test results. During the BPC Transition Period and the Sanofi Transition Period, if more than [***] revision to the Batch records is required, such revisions shall be limited to minor changes and provided at no cost to Sanofi Pasteur.</w:t>
      </w:r>
    </w:p>
    <w:p>
      <w:pPr>
        <w:spacing w:after="0" w:line="18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Stability Studies</w:t>
      </w:r>
      <w:r>
        <w:rPr>
          <w:rFonts w:ascii="Times New Roman" w:cs="Times New Roman" w:eastAsia="Times New Roman" w:hAnsi="Times New Roman"/>
          <w:sz w:val="18"/>
          <w:szCs w:val="18"/>
          <w:color w:val="auto"/>
        </w:rPr>
        <w:t>. BPC shall provide stability studies to Sanofi Pasteur at BPC’s rate of $[***] per hour, all to the extent reasonably documented. Such stability studies shall be performed according to International Council on Harmonization (ICH) guidelines and the protocol provided by Sanofi Pasteur.</w:t>
      </w:r>
    </w:p>
    <w:p>
      <w:pPr>
        <w:spacing w:after="0" w:line="38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ARTICLE 4.</w:t>
      </w:r>
      <w:r>
        <w:rPr>
          <w:sz w:val="20"/>
          <w:szCs w:val="20"/>
          <w:color w:val="auto"/>
        </w:rPr>
        <w:tab/>
      </w:r>
      <w:r>
        <w:rPr>
          <w:rFonts w:ascii="Times New Roman" w:cs="Times New Roman" w:eastAsia="Times New Roman" w:hAnsi="Times New Roman"/>
          <w:sz w:val="17"/>
          <w:szCs w:val="17"/>
          <w:b w:val="1"/>
          <w:bCs w:val="1"/>
          <w:color w:val="auto"/>
        </w:rPr>
        <w:t>REPRESENTATIONS AND WARRANTIES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Authority of BPC</w:t>
      </w:r>
      <w:r>
        <w:rPr>
          <w:rFonts w:ascii="Times New Roman" w:cs="Times New Roman" w:eastAsia="Times New Roman" w:hAnsi="Times New Roman"/>
          <w:sz w:val="18"/>
          <w:szCs w:val="18"/>
          <w:color w:val="auto"/>
        </w:rPr>
        <w:t>. BPC represents and warrants to Sanofi Pasteur that BPC is a corporation duly organized, validly existing, and in good standing under the laws of the State of Delaware and has full corporate power and authority to execute and deliver this Agreement and to consummate the transactions contemplated hereby.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Warranties by BPC</w:t>
      </w:r>
      <w:r>
        <w:rPr>
          <w:rFonts w:ascii="Times New Roman" w:cs="Times New Roman" w:eastAsia="Times New Roman" w:hAnsi="Times New Roman"/>
          <w:sz w:val="18"/>
          <w:szCs w:val="18"/>
          <w:color w:val="auto"/>
        </w:rPr>
        <w:t>. BPC further represents and warrants to Sanofi Pasteur that all Product delivered to Sanofi Pasteur by BPC shall, upon delivery to Sanofi Pasteur’s carrier, (a) be in compliance with all manufacturing procedures, in-process controls, testing, Specifications, packaging, labeling, and storage conditions as set forth in the Specifications; and (b) be manufactured in accordance with cGMP, applicable FDA or AFSSAPS regulations, and any other applicable laws or regulations.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Compliance with Regulations/Etc</w:t>
      </w:r>
      <w:r>
        <w:rPr>
          <w:rFonts w:ascii="Times New Roman" w:cs="Times New Roman" w:eastAsia="Times New Roman" w:hAnsi="Times New Roman"/>
          <w:sz w:val="18"/>
          <w:szCs w:val="18"/>
          <w:color w:val="auto"/>
        </w:rPr>
        <w:t>. BPC further represents and warrants to Sanofi Pasteur that (a) the manufacture of the Product shall comply with regulatory requirements and applicable law, and that BPC will maintain all obligations with respect thereto; and (b) BPC will comply with applicable law and that it will keep Sanofi Pasteur fully informed of any development which would affect the Product.</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Disclaimer by BPC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BPC expressly disclaims (a) any warranty that the Product (i) will be merchantable; or (ii) will be fit for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particular purpose; and (b) any other warranties with respect to the sale, distribution, or use of Product, express or implied, except as expressly stated in this Agreement.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Organization and Authority of Sanofi Pasteur</w:t>
      </w:r>
      <w:r>
        <w:rPr>
          <w:rFonts w:ascii="Times New Roman" w:cs="Times New Roman" w:eastAsia="Times New Roman" w:hAnsi="Times New Roman"/>
          <w:sz w:val="18"/>
          <w:szCs w:val="18"/>
          <w:color w:val="auto"/>
        </w:rPr>
        <w:t>. Sanofi Pasteur represents and warrants to BPC that Sanofi Pasteur is a corporation duly organized, validly existing, and in good standing under the laws of France and has full corporate power and authority to execute and deliver this Agreement and to consummate the transactions contemplated hereby.</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11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4" w:name="page115"/>
    <w:bookmarkEnd w:id="114"/>
    <w:p>
      <w:pPr>
        <w:jc w:val="both"/>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Compliance with Regulations/Etc</w:t>
      </w:r>
      <w:r>
        <w:rPr>
          <w:rFonts w:ascii="Times New Roman" w:cs="Times New Roman" w:eastAsia="Times New Roman" w:hAnsi="Times New Roman"/>
          <w:sz w:val="18"/>
          <w:szCs w:val="18"/>
          <w:color w:val="auto"/>
        </w:rPr>
        <w:t>. Sanofi Pasteur further represents and warrants to BPC that (a) the further processing, distribution, marketing, and sale of the Product or any product deriving from the Product shall comply with regulatory requirements and applicable law to the resulting product, and that Sanofi Pasteur will maintain all obligations with respect thereto; (b) Sanofi Pasteur will comply with applicable law and that it will keep BPC fully informed of any development which would affect BPC’s production of the Product hereunder; (c) Sanofi Pasteur will comply fully with all import laws and regulations as may be applicable to the import of Product to France; and (d) Source Plasma and any production processes provided or specified by Sanofi Pasteur will be suitable for the production of the Product.</w:t>
      </w:r>
    </w:p>
    <w:p>
      <w:pPr>
        <w:spacing w:after="0" w:line="18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ARTICLE 5.</w:t>
        <w:tab/>
        <w:t>COVENANTS</w:t>
      </w:r>
    </w:p>
    <w:p>
      <w:pPr>
        <w:spacing w:after="0" w:line="22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3" w:lineRule="auto"/>
        <w:tabs>
          <w:tab w:leader="none" w:pos="89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by the parties that during the term of this Agreement the parties may exchange Confidential Information (as hereinafter defined). BPC shall not disclose Confidential Information received from Sanofi Pasteur and shall not use Confidential Information disclosed to it by Sanofi Pasteur for BPC’s benefit (other than in the performance of its obligations hereunder) or for the benefit of any third person; provided, however, that BPC may disclose Confidential Information to its employees and third parties in the performance of its obligations hereunder if such third party agrees in writing to be bound by the confidentiality obligations set forth in this Agreement. Sanofi Pasteur shall not disclose Confidential Information received from BPC and shall not use Confidential Information disclosed to it by BPC for Sanofi Pasteur’s benefit (other than in the performance of its obligations hereunder) or for the benefit of any third person; provided, however, that Sanofi Pasteur may disclose Confidential Information to its employees and third parties in the performance of its obligations hereunder if such third party agrees in writing to be bound by the confidentiality obligations set forth in this Agreement. Each party agrees that Confidential Information provided to the other party shall only be shown to persons who have a need to see it in order for the party to carry out its obligations hereunder. Further, the party who receives Confidential Information from the other party shall be responsible for any unauthorized use or disclosure of such Confidential Information by its employees or third parties to whom it may disclose such Confidential Information. Upon termination or expiration of this Agreement, each party agrees to return all copies of Confidential Information to the party who provided it.</w:t>
      </w:r>
    </w:p>
    <w:p>
      <w:pPr>
        <w:spacing w:after="0" w:line="186" w:lineRule="exact"/>
        <w:rPr>
          <w:rFonts w:ascii="Times New Roman" w:cs="Times New Roman" w:eastAsia="Times New Roman" w:hAnsi="Times New Roman"/>
          <w:sz w:val="18"/>
          <w:szCs w:val="18"/>
          <w:color w:val="auto"/>
        </w:rPr>
      </w:pPr>
    </w:p>
    <w:p>
      <w:pPr>
        <w:jc w:val="both"/>
        <w:ind w:firstLine="656"/>
        <w:spacing w:after="0" w:line="253" w:lineRule="auto"/>
        <w:tabs>
          <w:tab w:leader="none" w:pos="92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information of a sensitive or proprietary nature, including, without limitation, know-how, trade secrets, information, technology, inventions (whether patentable or unpatentable), materials, methods, formulas and formulations, processes, drawings, specifications, designs, test data, concepts, ideas, knowledge, data, marketing plans, business strategies, sales figures, sales forecasts, financial information, prices, costs, and business practices. Confidential Information shall include all information in connection with this Agreement disclosed in writing and identified as being “confidential” or disclosed orally and reduced to writing within thirty (30) days of oral disclosure and identified as being “confidential”, or any other information that by its nature or context is clearly confidential or proprietary, whether or not so identified, except any portion thereof which: (i) is known to the recipient before receipt thereof under this Agreement or another confidentiality agreement with the other party as documented by written records; (ii) is disclosed in good faith to the recipient after acceptance of this Agreement by a third person lawfully in possession of such information and not under an obligation of non-disclosure; (iii) is or becomes part of the public domain through no fault of the recipient; (iv) is independently developed by the recipient without use of the information; or (v) is disclosed by law or regulation or in response to a valid order of a court or other governmental body, but only to the extent of and for the purpose of such law, regulation or order, and only if the recipient first notifies the other party of the required disclosure and permits the other party, at its expense, to seek an appropriate legal remedy to maintain the Confidential Information in secret.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12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5" w:name="page116"/>
    <w:bookmarkEnd w:id="115"/>
    <w:p>
      <w:pPr>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Trademarks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82" w:lineRule="auto"/>
        <w:tabs>
          <w:tab w:leader="none" w:pos="9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acknowledges that it does not have, and shall not acquire, any interest in any of the other party’s trademarks or trade names unless otherwise expressly agreed in writing by the parties.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not to use any trade names or trademarks of the other party, except as specifically authorized by the other party in writing both as to the names or marks which may be used and as to the manner and prominence of use.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The parties hereto understand and agree that remedies at law may be inadequate to protect against any breach of any provisions of this Article 5 by either party or its employees, agents, officers or directors or any other person acting in concert with it or on its behalf. Accordingly, each party shall be entitled to the granting of injunctive relief by a court of competent jurisdiction against any action that constitutes any such breach of this Article 5, without any requirement to post a bond.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Article 5 shall survive for a period of [***] years following expiration or termination of this Agreement for any reason.</w:t>
      </w:r>
    </w:p>
    <w:p>
      <w:pPr>
        <w:spacing w:after="0" w:line="15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ARTICLE 6.</w:t>
      </w:r>
      <w:r>
        <w:rPr>
          <w:sz w:val="20"/>
          <w:szCs w:val="20"/>
          <w:color w:val="auto"/>
        </w:rPr>
        <w:tab/>
      </w:r>
      <w:r>
        <w:rPr>
          <w:rFonts w:ascii="Times New Roman" w:cs="Times New Roman" w:eastAsia="Times New Roman" w:hAnsi="Times New Roman"/>
          <w:sz w:val="17"/>
          <w:szCs w:val="17"/>
          <w:b w:val="1"/>
          <w:bCs w:val="1"/>
          <w:color w:val="auto"/>
        </w:rPr>
        <w:t>INDEMNIFICATION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Indemnification by BPC</w:t>
      </w:r>
      <w:r>
        <w:rPr>
          <w:rFonts w:ascii="Times New Roman" w:cs="Times New Roman" w:eastAsia="Times New Roman" w:hAnsi="Times New Roman"/>
          <w:sz w:val="18"/>
          <w:szCs w:val="18"/>
          <w:color w:val="auto"/>
        </w:rPr>
        <w:t>. BPC agrees to defend, indemnify and hold Sanofi Pasteur, and its and their respective directors, officers, employees, and agents harmless against any and all claims, suits, losses, judgments, liabilities, damages, costs, fees (including but not limited to reasonable attorneys’ fees), and expenses resulting from or arising out of (a) any breach by BPC of this Agreement; (b) violations of any applicable law or regulation by BPC; or (c) claims by third parties for personal injury, illness, death, or property damage attributable to the manufacture of the Product by BPC; provided, however, that BPC shall have no indemnification obligations with regard to any matter arising out of the breach of this Agreement by Sanofi Pasteur or Sanofi Pasteur’s negligence or willful misconduct.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13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6" w:name="page117"/>
    <w:bookmarkEnd w:id="116"/>
    <w:p>
      <w:pPr>
        <w:jc w:val="both"/>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Indemnification by Sanofi Pasteur</w:t>
      </w:r>
      <w:r>
        <w:rPr>
          <w:rFonts w:ascii="Times New Roman" w:cs="Times New Roman" w:eastAsia="Times New Roman" w:hAnsi="Times New Roman"/>
          <w:sz w:val="18"/>
          <w:szCs w:val="18"/>
          <w:color w:val="auto"/>
        </w:rPr>
        <w:t>. Sanofi Pasteur agrees to defend, indemnify and hold BPC and its and their respective directors, officers, employees, and agents harmless against any and all claims, suits, losses, judgments, liabilities, damages, costs, fees (including but not limited to reasonable attorneys’ fees), and expenses resulting from or arising out of (a) any breach by Sanofi Pasteur of this Agreement; (b) violations of any applicable law or regulation by Sanofi Pasteur; or (c) claims by third parties for personal injury, illness, death, or property damage attributable to the marketing, sale, or distribution of the Product by Sanofi Pasteur; provided, however, that Sanofi Pasteur shall have no indemnification obligations with regard to any matter arising out of the breach of this Agreement by BPC or BPC’s negligence or willful misconduct.</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Any party (the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that intends to claim indemnification under this Article 6 shall promptly notify the other party (the “</w:t>
      </w:r>
      <w:r>
        <w:rPr>
          <w:rFonts w:ascii="Times New Roman" w:cs="Times New Roman" w:eastAsia="Times New Roman" w:hAnsi="Times New Roman"/>
          <w:sz w:val="18"/>
          <w:szCs w:val="18"/>
          <w:b w:val="1"/>
          <w:bCs w:val="1"/>
          <w:color w:val="auto"/>
        </w:rPr>
        <w:t>Indemnitor</w:t>
      </w:r>
      <w:r>
        <w:rPr>
          <w:rFonts w:ascii="Times New Roman" w:cs="Times New Roman" w:eastAsia="Times New Roman" w:hAnsi="Times New Roman"/>
          <w:sz w:val="18"/>
          <w:szCs w:val="18"/>
          <w:color w:val="auto"/>
        </w:rPr>
        <w:t>”) of any loss, claim, damage, liability, or action in respect of which the Indemnitee intends to claim such indemnification. In connection with any such claim that is a third party claim, the Indemnitor shall have the right to assume the defense thereof with counsel mutually satisfactory to the parties. The indemnity agreement in this Article 6 shall not apply to amounts paid in settlement of any loss, claim, damage, liability, or action if such settlement is effected without the consent of the Indemnitor, which consent shall not be withheld or delayed unreasonably. The failure to deliver notice to the Indemnitor within a reasonable time after the commencement of any such action shall not relieve the Indemnitor of any liability to the Indemnitee under this Article 6, except to the extent that the Indemnitor is prejudiced by such delay. The Indemnitee and its employees and agents shall cooperate fully with the Indemnitor and its legal representatives in the investigation of any loss, claim, damage, liability, or action covered by this Article 6. In the event that the Indemnitee claims indemnity from the Indemnitor and the Indemnitor is finally held liable to indemnify the Indemnitee, the Indemnitor shall additionally be liable to pay the reasonable legal costs and attorneys’ fees incurred by the Indemnitee in establishing its claim for indemnity.</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Sanofi Pasteur and BPC shall each be required to maintain general and product liability insurance in an amount of at least [***] USD ($[***]); and each shall provide to the other, upon request, written certification of such coverage. Before commencing any work hereunder, the parties shall furnish certificates evidencing the insurance required by this Section 6.4.</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In no event shall either party be liable to the other party for incidental, indirect, special, and consequential or punitive damages, including without limitation any claim for damages based upon lost profits or lost business opportunity. Except for the obligations of indemnity as set forth in Section 6.1(c) with respect to claims by third parties for personal injury, illness or death ([***]) resulting from the manufacture of the Product by BPC, aggregate damages for which BPC shall be liable to Sanofi Pasteur hereunder, including without limitation [***] and/or [***], shall not exceed [***]. All claims by Sanofi Pasteur for breach or default under this Agreement shall be brought within [***] after the cause of action comes into existence or shall be deemed waived. Unless Section 2.7 applies, [***] and [***] hereby [***] against [***], and against any of their [***], for any [***] to the [***] to the extent that [***].</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14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7" w:name="page118"/>
    <w:bookmarkEnd w:id="117"/>
    <w:p>
      <w:pPr>
        <w:jc w:val="both"/>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5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ARTICLE 7.</w:t>
      </w:r>
      <w:r>
        <w:rPr>
          <w:sz w:val="20"/>
          <w:szCs w:val="20"/>
          <w:color w:val="auto"/>
        </w:rPr>
        <w:tab/>
      </w:r>
      <w:r>
        <w:rPr>
          <w:rFonts w:ascii="Times New Roman" w:cs="Times New Roman" w:eastAsia="Times New Roman" w:hAnsi="Times New Roman"/>
          <w:sz w:val="17"/>
          <w:szCs w:val="17"/>
          <w:b w:val="1"/>
          <w:bCs w:val="1"/>
          <w:color w:val="auto"/>
        </w:rPr>
        <w:t>TERM AND TERMINATION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Section 7.2, the term of this Agreement shall be for a period of two (2) years from the date of termination of the Plasma Supply Agreement or such earlier time after the date of termination of the Plasma Supply Agreement when all remaining Source Plasma has been manufactured into Product as requested by Sanofi Pasteur. During such period, the requirement for Sanofi Pasteur to purchase a minimum of [***] Batches in a calendar year shall no longer apply.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either party (a) by reason of a material breach if the breaching party fails to remedy such breach within [***] after the non-breaching party has given the breaching party written notice of such breach; (b) upon bankruptcy, insolvency, dissolution, or winding up of the other party; (c) if the other party is unable to fulfill its obligations hereunder for a period of [***] by reason of an event described in Section 8.2; or (d) upon [***] prior written notice by Sanofi Pasteur to BPC in the event that Sanofi Pasteur discontinues the manufacturing of the products manufactured from the Product.</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Articles 5 (Covenants), 6 (Indemnification), and 8 (General Provisions) shall survive the expiration or termination of this Agreement for any reason.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Effect of Termination or Expiration</w:t>
      </w:r>
      <w:r>
        <w:rPr>
          <w:rFonts w:ascii="Times New Roman" w:cs="Times New Roman" w:eastAsia="Times New Roman" w:hAnsi="Times New Roman"/>
          <w:sz w:val="18"/>
          <w:szCs w:val="18"/>
          <w:color w:val="auto"/>
        </w:rPr>
        <w:t>. Termination or expiration of this Agreement through any means and for any reason shall not relieve the parties of any obligation accruing prior thereto and shall be without prejudice to the rights and remedies of either party with respect to any antecedent breach of any of the provisions of this Agreement. Upon expiration or termination of this Agreement pursuant to Section 7.2, BPC shall supply and Sanofi Pasteur shall purchase the quantity of Batches of Product previously ordered by Sanofi Pasteur pursuant to written purchase orders, in accordance with the terms of this Agreement, but thereafter neither party shall be obligated to the other party to supply or purchase any additional quantities of Product hereunder.</w:t>
      </w:r>
    </w:p>
    <w:p>
      <w:pPr>
        <w:spacing w:after="0" w:line="18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ARTICLE 8.</w:t>
        <w:tab/>
        <w:t>GENERAL PROVISIONS</w:t>
      </w:r>
    </w:p>
    <w:p>
      <w:pPr>
        <w:spacing w:after="0" w:line="22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auto"/>
        </w:rPr>
        <w:t>Facility Modifications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8" w:lineRule="auto"/>
        <w:tabs>
          <w:tab w:leader="none" w:pos="9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Pasteur shall reimburse BPC for any material costs incurred as a result of process or facility modifications resulting from mandatory changes in the manufacturing of the Product. If the mandatory modifications are for the manufacturing of the Product only, and Sanofi Pasteur agrees to such modifications, Sanofi Pasteur will bear the total cost in the year the costs are incurred by BPC. If the mandatory modifications do not relate to the manufacturing of the Product and relate to the facility in general, Sanofi Pasteur shall bear no cost for such modifications. If the mandatory modifications applicable to the manufacturing of the Product are also applicable to other products manufactured by BPC, the costs will be divided and [***].</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15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8" w:name="page119"/>
    <w:bookmarkEnd w:id="118"/>
    <w:p>
      <w:pPr>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jc w:val="both"/>
        <w:ind w:firstLine="656"/>
        <w:spacing w:after="0" w:line="261" w:lineRule="auto"/>
        <w:tabs>
          <w:tab w:leader="none" w:pos="93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Pasteur may, from time to time, request BPC to make other changes in the BPC processes or to the Specifications, etc., including additional testing, which are not the result of changes in industry or regulatory standards. Sanofi Pasteur must submit requests for such changes in writing to BPC. BPC shall not unreasonably withhold its consent to any such changes. Any such Sanofi Pasteur requested change(s) which result in increased costs to BPC shall be reflected in adjusted pricing, to be mutually agreed upon in good faith.</w:t>
      </w:r>
    </w:p>
    <w:p>
      <w:pPr>
        <w:spacing w:after="0" w:line="180" w:lineRule="exact"/>
        <w:rPr>
          <w:rFonts w:ascii="Times New Roman" w:cs="Times New Roman" w:eastAsia="Times New Roman" w:hAnsi="Times New Roman"/>
          <w:sz w:val="18"/>
          <w:szCs w:val="18"/>
          <w:color w:val="auto"/>
        </w:rPr>
      </w:pPr>
    </w:p>
    <w:p>
      <w:pPr>
        <w:jc w:val="both"/>
        <w:ind w:firstLine="656"/>
        <w:spacing w:after="0" w:line="261" w:lineRule="auto"/>
        <w:tabs>
          <w:tab w:leader="none" w:pos="91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BPC has the obligation to promptly notify Sanofi Pasteur regarding any potential or proposed changes to the manufacturing process for the Product and any potential or proposed changes to the equipment and facilities that may impact the Product, including its regulatory status. The parties shall meet and discuss the potential impact of any changes to the Product and come to a mutual agreement on a plan to address the impact on the Product with sufficient time so as not to interrupt the continuous supply of Product prior to such changes being implemented.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shall be held liable or responsible to the other party or be deemed to have defaulted under or be in breach of this Agreement for any delay or failure to perform any obligation under this Agreement (other than a failure to pay money) when such delay or failure to perform is caused by or results from causes beyond the reasonable control of the affected party, including, without limitation, fire, flood, embargo, war, act of war (whether war is declared or not), insurrection, riot, civil commotion, strike, lockout or other labor disturbance, act of God, omission or delay in acting by any governmental authority or the other party; provided, however, that the affected party shall provide the other party with prompt written notice of any such delay or failure to perform and shall use commercially reasonable efforts to cure any such delay or failure to perform at the earliest practicable date.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hereunder shall be in writing, addressed to the receiving party’s address set forth below or to such other address as a party may designate by notice hereunder, and either (a) delivered by hand, (b) made by facsimile transmission, (c) sent by recognized overnight courier, or (d) sent by registered or certified mail, return receipt requested, postage prepaid.</w:t>
      </w:r>
    </w:p>
    <w:p>
      <w:pPr>
        <w:spacing w:after="0" w:line="17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u w:val="single" w:color="auto"/>
          <w:color w:val="auto"/>
        </w:rPr>
        <w:t>If to BPC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VP, Quality Operations</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Biotest Pharmaceuticals Corporation</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5800 Park of Commerce Boulevard, N.W.</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Boca Raton, FL 33487 USA</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Fax: [***]</w:t>
      </w: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u w:val="single" w:color="auto"/>
          <w:color w:val="auto"/>
        </w:rPr>
        <w:t>With a copy to</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Legal Department</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Biotest Pharmaceuticals Corporation</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5800 Park of Commerce Blvd. NW</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Boca Raton, FL 33487 USA</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Fax: 1-561-989-5517</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16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9" w:name="page120"/>
    <w:bookmarkEnd w:id="119"/>
    <w:p>
      <w:pPr>
        <w:ind w:right="160"/>
        <w:spacing w:after="0" w:line="244" w:lineRule="auto"/>
        <w:rPr>
          <w:sz w:val="20"/>
          <w:szCs w:val="20"/>
          <w:color w:val="auto"/>
        </w:rPr>
      </w:pPr>
      <w:r>
        <w:rPr>
          <w:rFonts w:ascii="Times New Roman" w:cs="Times New Roman" w:eastAsia="Times New Roman" w:hAnsi="Times New Roman"/>
          <w:sz w:val="22"/>
          <w:szCs w:val="22"/>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u w:val="single" w:color="auto"/>
          <w:color w:val="auto"/>
        </w:rPr>
        <w:t>If to Sanofi Pasteur</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Project Leader- Manufacturing Agreement</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Sanofi Pasteur S.A.</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Campus Merieux</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1541, avenue Marcel Merieux</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69280 Marcy l'Etoile</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Fax [***]</w:t>
      </w: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u w:val="single" w:color="auto"/>
          <w:color w:val="auto"/>
        </w:rPr>
        <w:t>With a copy to both</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QA Manager</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Campus Merieux</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1541, avenue Marcel Merieux</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69280 Marcy l'Etoile</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France</w:t>
      </w: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Sanofi Pasteur S.A.</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2, avenue Pont Pasteur</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69007 Lyon</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Fax [***]</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notices, requests, consents and other communications hereunder shall be deemed to have been properly given (a) if by hand, at the time of the delivery thereof to the receiving party at the address of such party set forth above, (b) if made by facsimile transmission, at the time that receipt thereof has been acknowledged by electronic confirmation or otherwise, (c) if sent by overnight courier, on the next business day following the day such notice is delivered to the courier service, or (d) if sent by registered or certified mail, on the fifth business day following the day such mailing is made.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BPC and Sanofi Pasteur with respect to the subject matter hereof. This Agreement supersedes any prior agreements or understandings between BPC and Sanofi Pasteur, whether written or oral, with respect to the subject matter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Waiver: Amendment</w:t>
      </w:r>
      <w:r>
        <w:rPr>
          <w:rFonts w:ascii="Times New Roman" w:cs="Times New Roman" w:eastAsia="Times New Roman" w:hAnsi="Times New Roman"/>
          <w:sz w:val="18"/>
          <w:szCs w:val="18"/>
          <w:color w:val="auto"/>
        </w:rPr>
        <w:t>. No waiver of any breach of any provision of this Agreement shall constitute a waiver of any other breach of that or any other provision hereof. No supplement or modification of or amendment to this Agreement shall be binding unless agreed to and executed in writing by BPC and Sanofi Pasteur.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hereunder shall be construed in accordance with and governed by the internal laws of the State of Delaware, USA, without giving effect to the conflict of law principles thereof.</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17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20" w:name="page121"/>
    <w:bookmarkEnd w:id="120"/>
    <w:p>
      <w:pPr>
        <w:jc w:val="both"/>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Submission to Arbitration</w:t>
      </w:r>
      <w:r>
        <w:rPr>
          <w:rFonts w:ascii="Times New Roman" w:cs="Times New Roman" w:eastAsia="Times New Roman" w:hAnsi="Times New Roman"/>
          <w:sz w:val="18"/>
          <w:szCs w:val="18"/>
          <w:color w:val="auto"/>
        </w:rPr>
        <w:t>. Any dispute, controversy or claim arising out of or relating to this Agreement, or the breach, termination or invalidity thereof, shall be finally settled by binding arbitration conducted in the English language in Washington D.C., USA, under the commercial arbitration rules of the International Chamber of Commerce, which shall administer the arbitration and act as appointing authority.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court of competent jurisdiction shall finally determine that any provision, or any portion thereof, contained in this Agreement shall be void or enforceable in any respect, then such provision shall be deemed limited to the extent that such court determines it enforceable, and as so limited shall remain in full force and effect. In the event that such court shall determine any such provision, or portion thereof, wholly unenforceable, the remaining provisions of this Agreement nevertheless shall remain in full force and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No Public Announcement</w:t>
      </w:r>
      <w:r>
        <w:rPr>
          <w:rFonts w:ascii="Times New Roman" w:cs="Times New Roman" w:eastAsia="Times New Roman" w:hAnsi="Times New Roman"/>
          <w:sz w:val="18"/>
          <w:szCs w:val="18"/>
          <w:color w:val="auto"/>
        </w:rPr>
        <w:t>. Neither BPC, nor Sanofi Pasteur shall, without the approval of the other, make any press release or other public announcement concerning the transactions contemplated by this Agreement, except as and to the extent that any such party shall be so obligated by law, in which case the other party shall be advised and the parties shall use their best efforts to cause a mutually agreeable release or announcement to be issued.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Expenses; Taxes</w:t>
      </w:r>
      <w:r>
        <w:rPr>
          <w:rFonts w:ascii="Times New Roman" w:cs="Times New Roman" w:eastAsia="Times New Roman" w:hAnsi="Times New Roman"/>
          <w:sz w:val="18"/>
          <w:szCs w:val="18"/>
          <w:color w:val="auto"/>
        </w:rPr>
        <w:t>. Except as otherwise provided herein, each party hereto will pay all costs and expenses incident to its negotiation and preparation of this Agreement and to the performance and compliance with all agreements and conditions contained herein on its part to be performed or complied with, including the fees, expenses and disbursements of its counsel and accounting firm.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Descriptive Headings</w:t>
      </w:r>
      <w:r>
        <w:rPr>
          <w:rFonts w:ascii="Times New Roman" w:cs="Times New Roman" w:eastAsia="Times New Roman" w:hAnsi="Times New Roman"/>
          <w:sz w:val="18"/>
          <w:szCs w:val="18"/>
          <w:color w:val="auto"/>
        </w:rPr>
        <w:t>. The descriptive headings herein are inserted for convenience of reference only and are not intended to be part of or to affect the meaning or interpretation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and by different parties hereto on separate counterparts, each of which shall be deemed an original, but all of which together shall constitute one and the same instrument.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Parties in Interest; Assignment</w:t>
      </w:r>
      <w:r>
        <w:rPr>
          <w:rFonts w:ascii="Times New Roman" w:cs="Times New Roman" w:eastAsia="Times New Roman" w:hAnsi="Times New Roman"/>
          <w:sz w:val="18"/>
          <w:szCs w:val="18"/>
          <w:color w:val="auto"/>
        </w:rPr>
        <w:t>. This Agreement shall be binding upon and inure solely to the benefit of each party hereto and their respective successors and permitted assigns, and nothing in this Agreement, expressed or implied, is intended to confer upon any other person any rights or remedies of any nature whatsoever under or by reason of this Agreement. Neither party may assign this Agreement or any of its rights and obligations hereunder without the other party’s prior written consent, which may not be unreasonably withheld or delayed, except as hereinafter provided. With notice to the other party, either party may, without the other party's consent, assign this Agreement to its Affiliate. No such assignment shall relieve the assignor of its obligations and liabilities under this Agreement, all of which shall remain direct and primary in any event.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18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1" w:name="page122"/>
    <w:bookmarkEnd w:id="121"/>
    <w:p>
      <w:pPr>
        <w:jc w:val="both"/>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The relationship of the parties under this Agreement is that of independent contractors. Except as expressly provided in this Agreement, neither party shall hold itself out as an agent, legal representative, joint venture, or partner of the other party for any purpose whatsoever. Neither party is authorized to make any contract, warranty, or representation by or on behalf of the other party.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Biotest Pharmaceutical Corporation</w:t>
            </w:r>
          </w:p>
        </w:tc>
        <w:tc>
          <w:tcPr>
            <w:tcW w:w="7460" w:type="dxa"/>
            <w:vAlign w:val="bottom"/>
            <w:gridSpan w:val="7"/>
          </w:tcPr>
          <w:p>
            <w:pPr>
              <w:ind w:left="1760"/>
              <w:spacing w:after="0"/>
              <w:rPr>
                <w:sz w:val="20"/>
                <w:szCs w:val="20"/>
                <w:color w:val="auto"/>
              </w:rPr>
            </w:pPr>
            <w:r>
              <w:rPr>
                <w:rFonts w:ascii="Times New Roman" w:cs="Times New Roman" w:eastAsia="Times New Roman" w:hAnsi="Times New Roman"/>
                <w:sz w:val="18"/>
                <w:szCs w:val="18"/>
                <w:b w:val="1"/>
                <w:bCs w:val="1"/>
                <w:color w:val="auto"/>
              </w:rPr>
              <w:t>Sanofi Pasteur S.A.</w:t>
            </w:r>
          </w:p>
        </w:tc>
      </w:tr>
      <w:tr>
        <w:trPr>
          <w:trHeight w:val="392"/>
        </w:trPr>
        <w:tc>
          <w:tcPr>
            <w:tcW w:w="3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Jordan Siegel</w:t>
            </w:r>
          </w:p>
        </w:tc>
        <w:tc>
          <w:tcPr>
            <w:tcW w:w="7460" w:type="dxa"/>
            <w:vAlign w:val="bottom"/>
            <w:gridSpan w:val="7"/>
          </w:tcPr>
          <w:p>
            <w:pPr>
              <w:ind w:left="1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 DuPont</w:t>
            </w: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80" w:type="dxa"/>
            <w:vAlign w:val="bottom"/>
            <w:tcBorders>
              <w:left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12"/>
        </w:trPr>
        <w:tc>
          <w:tcPr>
            <w:tcW w:w="3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Name: Jordan Siegel</w:t>
            </w:r>
          </w:p>
        </w:tc>
        <w:tc>
          <w:tcPr>
            <w:tcW w:w="7460" w:type="dxa"/>
            <w:vAlign w:val="bottom"/>
            <w:gridSpan w:val="7"/>
          </w:tcPr>
          <w:p>
            <w:pPr>
              <w:ind w:left="1760"/>
              <w:spacing w:after="0"/>
              <w:rPr>
                <w:sz w:val="20"/>
                <w:szCs w:val="20"/>
                <w:color w:val="auto"/>
              </w:rPr>
            </w:pPr>
            <w:r>
              <w:rPr>
                <w:rFonts w:ascii="Times New Roman" w:cs="Times New Roman" w:eastAsia="Times New Roman" w:hAnsi="Times New Roman"/>
                <w:sz w:val="18"/>
                <w:szCs w:val="18"/>
                <w:color w:val="auto"/>
              </w:rPr>
              <w:t>Name: Andre DuPont</w:t>
            </w:r>
          </w:p>
        </w:tc>
      </w:tr>
      <w:tr>
        <w:trPr>
          <w:trHeight w:val="20"/>
        </w:trPr>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40" w:type="dxa"/>
            <w:vAlign w:val="bottom"/>
            <w:tcBorders>
              <w:left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12"/>
        </w:trPr>
        <w:tc>
          <w:tcPr>
            <w:tcW w:w="3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Title: Sr. VP, Finance &amp; CFO</w:t>
            </w:r>
          </w:p>
        </w:tc>
        <w:tc>
          <w:tcPr>
            <w:tcW w:w="7460" w:type="dxa"/>
            <w:vAlign w:val="bottom"/>
            <w:gridSpan w:val="7"/>
          </w:tcPr>
          <w:p>
            <w:pPr>
              <w:ind w:left="1760"/>
              <w:spacing w:after="0"/>
              <w:rPr>
                <w:sz w:val="20"/>
                <w:szCs w:val="20"/>
                <w:color w:val="auto"/>
              </w:rPr>
            </w:pPr>
            <w:r>
              <w:rPr>
                <w:rFonts w:ascii="Times New Roman" w:cs="Times New Roman" w:eastAsia="Times New Roman" w:hAnsi="Times New Roman"/>
                <w:sz w:val="18"/>
                <w:szCs w:val="18"/>
                <w:color w:val="auto"/>
              </w:rPr>
              <w:t>Title: Vice President Industrial Operations Europe</w:t>
            </w:r>
          </w:p>
        </w:tc>
      </w:tr>
      <w:tr>
        <w:trPr>
          <w:trHeight w:val="20"/>
        </w:trPr>
        <w:tc>
          <w:tcPr>
            <w:tcW w:w="3960" w:type="dxa"/>
            <w:vAlign w:val="bottom"/>
            <w:gridSpan w:val="5"/>
          </w:tcPr>
          <w:p>
            <w:pPr>
              <w:spacing w:after="0" w:line="20" w:lineRule="exact"/>
              <w:rPr>
                <w:sz w:val="1"/>
                <w:szCs w:val="1"/>
                <w:color w:val="auto"/>
              </w:rPr>
            </w:pPr>
          </w:p>
        </w:tc>
        <w:tc>
          <w:tcPr>
            <w:tcW w:w="2200" w:type="dxa"/>
            <w:vAlign w:val="bottom"/>
            <w:tcBorders>
              <w:right w:val="single" w:sz="8" w:color="auto"/>
            </w:tcBorders>
            <w:gridSpan w:val="2"/>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140" w:type="dxa"/>
            <w:vAlign w:val="bottom"/>
            <w:gridSpan w:val="2"/>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12"/>
        </w:trPr>
        <w:tc>
          <w:tcPr>
            <w:tcW w:w="3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 Sept. 30, 2011</w:t>
            </w:r>
          </w:p>
        </w:tc>
        <w:tc>
          <w:tcPr>
            <w:tcW w:w="7460" w:type="dxa"/>
            <w:vAlign w:val="bottom"/>
            <w:gridSpan w:val="7"/>
          </w:tcPr>
          <w:p>
            <w:pPr>
              <w:ind w:left="1760"/>
              <w:spacing w:after="0"/>
              <w:rPr>
                <w:sz w:val="20"/>
                <w:szCs w:val="20"/>
                <w:color w:val="auto"/>
              </w:rPr>
            </w:pPr>
            <w:r>
              <w:rPr>
                <w:rFonts w:ascii="Times New Roman" w:cs="Times New Roman" w:eastAsia="Times New Roman" w:hAnsi="Times New Roman"/>
                <w:sz w:val="18"/>
                <w:szCs w:val="18"/>
                <w:color w:val="auto"/>
              </w:rPr>
              <w:t>Date: Sept. 30, 2011</w:t>
            </w: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514"/>
        </w:trPr>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gridSpan w:val="7"/>
          </w:tcPr>
          <w:p>
            <w:pPr>
              <w:ind w:left="1160"/>
              <w:spacing w:after="0"/>
              <w:rPr>
                <w:sz w:val="20"/>
                <w:szCs w:val="20"/>
                <w:color w:val="auto"/>
              </w:rPr>
            </w:pPr>
            <w:r>
              <w:rPr>
                <w:rFonts w:ascii="Times New Roman" w:cs="Times New Roman" w:eastAsia="Times New Roman" w:hAnsi="Times New Roman"/>
                <w:sz w:val="22"/>
                <w:szCs w:val="22"/>
                <w:color w:val="auto"/>
              </w:rPr>
              <w:t>Page 19 of 19</w:t>
            </w:r>
          </w:p>
        </w:tc>
      </w:tr>
    </w:tbl>
    <w:p>
      <w:pPr>
        <w:sectPr>
          <w:pgSz w:w="11900" w:h="16838" w:orient="portrait"/>
          <w:cols w:equalWidth="0" w:num="1">
            <w:col w:w="11420"/>
          </w:cols>
          <w:pgMar w:left="240" w:top="337" w:right="239" w:bottom="1440" w:gutter="0" w:footer="0" w:header="0"/>
        </w:sectPr>
      </w:pPr>
    </w:p>
    <w:bookmarkStart w:id="122" w:name="page123"/>
    <w:bookmarkEnd w:id="122"/>
    <w:p>
      <w:pPr>
        <w:jc w:val="both"/>
        <w:spacing w:after="0" w:line="282" w:lineRule="auto"/>
        <w:rPr>
          <w:sz w:val="20"/>
          <w:szCs w:val="20"/>
          <w:color w:val="auto"/>
        </w:rPr>
      </w:pPr>
      <w:r>
        <w:rPr>
          <w:rFonts w:ascii="Times New Roman" w:cs="Times New Roman" w:eastAsia="Times New Roman" w:hAnsi="Times New Roman"/>
          <w:sz w:val="18"/>
          <w:szCs w:val="18"/>
          <w:color w:val="231F20"/>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#2 to the Manufacturing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Amendment #2 to the Manufacturing Agreement (this “</w:t>
      </w:r>
      <w:r>
        <w:rPr>
          <w:rFonts w:ascii="Times New Roman" w:cs="Times New Roman" w:eastAsia="Times New Roman" w:hAnsi="Times New Roman"/>
          <w:sz w:val="18"/>
          <w:szCs w:val="18"/>
          <w:b w:val="1"/>
          <w:bCs w:val="1"/>
          <w:color w:val="auto"/>
        </w:rPr>
        <w:t>Amendment #2</w:t>
      </w:r>
      <w:r>
        <w:rPr>
          <w:rFonts w:ascii="Times New Roman" w:cs="Times New Roman" w:eastAsia="Times New Roman" w:hAnsi="Times New Roman"/>
          <w:sz w:val="18"/>
          <w:szCs w:val="18"/>
          <w:color w:val="auto"/>
        </w:rPr>
        <w:t>”) is made effective as of August 1, 2016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Biotest Pharmaceuticals Corporation</w:t>
      </w:r>
      <w:r>
        <w:rPr>
          <w:rFonts w:ascii="Times New Roman" w:cs="Times New Roman" w:eastAsia="Times New Roman" w:hAnsi="Times New Roman"/>
          <w:sz w:val="18"/>
          <w:szCs w:val="18"/>
          <w:color w:val="auto"/>
        </w:rPr>
        <w:t>, a Delaware corporation, having a place of business at 5800 Park of Commerce Boulevard NW, Boca Raton, Florida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33487 USA (“</w:t>
      </w:r>
      <w:r>
        <w:rPr>
          <w:rFonts w:ascii="Times New Roman" w:cs="Times New Roman" w:eastAsia="Times New Roman" w:hAnsi="Times New Roman"/>
          <w:sz w:val="18"/>
          <w:szCs w:val="18"/>
          <w:b w:val="1"/>
          <w:bCs w:val="1"/>
          <w:color w:val="auto"/>
        </w:rPr>
        <w:t>BPC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Sanofi Pasteur S.A.,</w:t>
      </w:r>
      <w:r>
        <w:rPr>
          <w:rFonts w:ascii="Times New Roman" w:cs="Times New Roman" w:eastAsia="Times New Roman" w:hAnsi="Times New Roman"/>
          <w:sz w:val="18"/>
          <w:szCs w:val="18"/>
          <w:color w:val="auto"/>
        </w:rPr>
        <w:t xml:space="preserve"> a company existing and organized under the laws of France (“</w:t>
      </w:r>
      <w:r>
        <w:rPr>
          <w:rFonts w:ascii="Times New Roman" w:cs="Times New Roman" w:eastAsia="Times New Roman" w:hAnsi="Times New Roman"/>
          <w:sz w:val="18"/>
          <w:szCs w:val="18"/>
          <w:b w:val="1"/>
          <w:bCs w:val="1"/>
          <w:color w:val="auto"/>
        </w:rPr>
        <w:t>Sanofi Pasteur</w:t>
      </w:r>
      <w:r>
        <w:rPr>
          <w:rFonts w:ascii="Times New Roman" w:cs="Times New Roman" w:eastAsia="Times New Roman" w:hAnsi="Times New Roman"/>
          <w:sz w:val="18"/>
          <w:szCs w:val="18"/>
          <w:color w:val="auto"/>
        </w:rPr>
        <w:t>”), having its registered head office at 2, avenue Pont Pasteur, 69007, Lyon, France.</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BPC and Sanofi Pasteur are Parties to that certain Manufacturing Agreement, effective September 30, 2011, as previously amended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production of Rabies Fraction II Paste for Sanofi Pasteur from human plasma containing rabies antibodies (collectively,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BPC and Sanofi Pasteur are also Parties to a plasma supply agreement, as amended, for the production of human Rabies Hyperimmune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Plasma (“</w:t>
      </w:r>
      <w:r>
        <w:rPr>
          <w:rFonts w:ascii="Times New Roman" w:cs="Times New Roman" w:eastAsia="Times New Roman" w:hAnsi="Times New Roman"/>
          <w:sz w:val="18"/>
          <w:szCs w:val="18"/>
          <w:b w:val="1"/>
          <w:bCs w:val="1"/>
          <w:color w:val="auto"/>
        </w:rPr>
        <w:t>Rabies Plasma</w:t>
      </w:r>
      <w:r>
        <w:rPr>
          <w:rFonts w:ascii="Times New Roman" w:cs="Times New Roman" w:eastAsia="Times New Roman" w:hAnsi="Times New Roman"/>
          <w:sz w:val="18"/>
          <w:szCs w:val="18"/>
          <w:color w:val="auto"/>
        </w:rPr>
        <w:t>”) by BPC for Sanofi Pasteur to be used in the manufacturing of Rabies Immunoglobulin, effective January 20, 2009 (collectively, the “</w:t>
      </w:r>
      <w:r>
        <w:rPr>
          <w:rFonts w:ascii="Times New Roman" w:cs="Times New Roman" w:eastAsia="Times New Roman" w:hAnsi="Times New Roman"/>
          <w:sz w:val="18"/>
          <w:szCs w:val="18"/>
          <w:b w:val="1"/>
          <w:bCs w:val="1"/>
          <w:color w:val="auto"/>
        </w:rPr>
        <w:t>Plasma Supply Agreement</w:t>
      </w:r>
      <w:r>
        <w:rPr>
          <w:rFonts w:ascii="Times New Roman" w:cs="Times New Roman" w:eastAsia="Times New Roman" w:hAnsi="Times New Roman"/>
          <w:sz w:val="18"/>
          <w:szCs w:val="18"/>
          <w:color w:val="auto"/>
        </w:rPr>
        <w:t>”), which is now an exhibit to this Agreement and an integral part 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Plasma Supply Agreement and this Agreement are connected and to be read together;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Sanofi Pasteur is in the process of divesting the production of the rabies immunoglobulin and is negotiating with a third party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the assignment of its rights on that product;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the frame of this divestment project, and as part of the discussions with the Assignee, Sanofi Pasteur is to supply to the Assignee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quantities of Rabies Immunoglobulin for further commercialization by the Assignee;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Sanofi Pasteur is willing to secure with BPC the manufacturing and supply of the Product for the coming years in terms of quantities;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BPC and Sanofi Pasteur desire to further amend the Agreement in order to memorialize the amendment of certain provisions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respective promises contained herein and other valuable consideration, the receipt and sufficiency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hereby acknowledged, and intending to be legally bound hereby, the Parties hereto agree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All capitalized terms used and not defined in this Amendment shall have the meaning as set out in the Agreement.</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BPC Initials 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Sanofi Pasteur Initials ___</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3" w:name="page124"/>
    <w:bookmarkEnd w:id="123"/>
    <w:p>
      <w:pPr>
        <w:ind w:right="80"/>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Section 2.1 (a) of the Agreement is deleted in its entirety. Sanofi Pasteur shall no longer have any obligation to purchase exclusively from BPC Sanofi Pasteur’s worldwide requirements of Product.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Sanofi Pasteur agrees to purchase and BPC to manufacture the following quantities of Batches of Product:</w:t>
      </w:r>
    </w:p>
    <w:p>
      <w:pPr>
        <w:spacing w:after="0" w:line="225"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 RR and [***] RA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2018: [***] RR and [***] RA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 RR and [***] RA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Depending on Plasma collection: [***] RR and [***] RA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long as BPC is providing in a timely manner the minimum per Batch volume of RR Plasma for the above number of RR Batches.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more RR plasma is delivered by BPC, Sanofi Pasteur will purchase the following quantities of Batches of Product:</w:t>
      </w:r>
    </w:p>
    <w:p>
      <w:pPr>
        <w:spacing w:after="0" w:line="225"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2018: [***]</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2.1 (d), (e) and (0 are hereby amended to impose on BPC an obligation to supply a minimum of [***] Batches of Product per year for the term of the Agreement. BPC agrees to use its reasonable best efforts to manufacture, each year, at least [***] Batches of Products (hereafter the “</w:t>
      </w:r>
      <w:r>
        <w:rPr>
          <w:rFonts w:ascii="Times New Roman" w:cs="Times New Roman" w:eastAsia="Times New Roman" w:hAnsi="Times New Roman"/>
          <w:sz w:val="18"/>
          <w:szCs w:val="18"/>
          <w:b w:val="1"/>
          <w:bCs w:val="1"/>
          <w:color w:val="auto"/>
        </w:rPr>
        <w:t>Minimum Volume</w:t>
      </w:r>
      <w:r>
        <w:rPr>
          <w:rFonts w:ascii="Times New Roman" w:cs="Times New Roman" w:eastAsia="Times New Roman" w:hAnsi="Times New Roman"/>
          <w:sz w:val="18"/>
          <w:szCs w:val="18"/>
          <w:color w:val="auto"/>
        </w:rPr>
        <w:t>”). BPC is informed by Sanofi Pasteur of the necessity to abide by this volume commitment, which in case of failure will cause an important harm to Sanofi Pasteur.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Should BPC fail to manufacture the yearly Minimum Volume of Product as specified in this Amendment # 2, BPC agrees that Sanofi Pasteur shall be entitled to obtain from BPC as liquidated damages, and not a penalty, amounting to $[***] ([***]) USD for each calendar year where BPC is not able to meet the Minimum Volume. BPC accepts and declares that the amount of the liquidated damages is a fair and equitable compensation, and not a penalty, for such failure in consideration of the overall framework of the sums of money to be paid by Sanofi Pasteur under the Plasma Supply Agreement and the Agreement. The liquated damages referenced above, together with the right to terminate this Agreement, shall be Sanofi Pasteur’s exclusive remedy, with respect to the failure by BPC to supply the Minimum Volume to Sanofi Pasteur. Sanofi Pasteur shall not be entitled to any other remedy at law or by this Agreement, should BPC fail to manufacture the Minimum Volume.</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BPC Initials 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Sanofi Pasteur Initials ___</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4" w:name="page125"/>
    <w:bookmarkEnd w:id="124"/>
    <w:p>
      <w:pPr>
        <w:jc w:val="both"/>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yearly Minimum Volume of Product to be manufactured by BPC, should BPC deliver the Minimum Volume of Product but fail to meet the supply plan as provided in Exhibit A as attached hereto and making an integral part hereof, then it is agreed upon by the Parties that BPC shall pay to Sanofi Pasteur an amount equal to $[***] ([***]) USD for each Batch of Product that is less than the agreed upon quantity in Exhibit A, and not as a penalty.</w:t>
      </w:r>
    </w:p>
    <w:p>
      <w:pPr>
        <w:spacing w:after="0" w:line="176" w:lineRule="exact"/>
        <w:rPr>
          <w:sz w:val="20"/>
          <w:szCs w:val="20"/>
          <w:color w:val="auto"/>
        </w:rPr>
      </w:pPr>
    </w:p>
    <w:p>
      <w:pPr>
        <w:ind w:left="180" w:hanging="172"/>
        <w:spacing w:after="0"/>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agreed to the supply plan provided in Exhibit A, which shall make an integral part hereof and be binding on both parties.</w:t>
      </w:r>
    </w:p>
    <w:p>
      <w:pPr>
        <w:spacing w:after="0" w:line="225" w:lineRule="exact"/>
        <w:rPr>
          <w:rFonts w:ascii="Times New Roman" w:cs="Times New Roman" w:eastAsia="Times New Roman" w:hAnsi="Times New Roman"/>
          <w:sz w:val="18"/>
          <w:szCs w:val="18"/>
          <w:color w:val="auto"/>
        </w:rPr>
      </w:pPr>
    </w:p>
    <w:p>
      <w:pPr>
        <w:ind w:right="420" w:firstLine="8"/>
        <w:spacing w:after="0" w:line="282" w:lineRule="auto"/>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 entitled “Annual Increase,” of Article 3, entitled “Payments,” is hereby amended by deleting any reference to Product Price for the period January 1, 2017 through December 31, 2020 and replacing it by the following: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Product Price for the period January 1, 2017 through December 31, 2020 will be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Batch #[***] through #[***] - [***] USD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Batch #[***] through #[***] - [***] USD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Batch #[***] through #[***] - [***] USD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Batch #[***] or greater - [***] USD.”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Product Price is not subject to revision from January 1, 2017 through December 31, 2020.</w:t>
      </w:r>
    </w:p>
    <w:p>
      <w:pPr>
        <w:spacing w:after="0" w:line="225" w:lineRule="exact"/>
        <w:rPr>
          <w:sz w:val="20"/>
          <w:szCs w:val="20"/>
          <w:color w:val="auto"/>
        </w:rPr>
      </w:pPr>
    </w:p>
    <w:p>
      <w:pPr>
        <w:jc w:val="center"/>
        <w:ind w:right="5320"/>
        <w:spacing w:after="0"/>
        <w:rPr>
          <w:sz w:val="20"/>
          <w:szCs w:val="20"/>
          <w:color w:val="auto"/>
        </w:rPr>
      </w:pPr>
      <w:r>
        <w:rPr>
          <w:rFonts w:ascii="Times New Roman" w:cs="Times New Roman" w:eastAsia="Times New Roman" w:hAnsi="Times New Roman"/>
          <w:sz w:val="18"/>
          <w:szCs w:val="18"/>
          <w:color w:val="auto"/>
        </w:rPr>
        <w:t>For the avoidance of doubt the following is an example of pricing for [***] Batches: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Batch #[***] through #[***] - [***] USD per Batch = [***] USD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Batch #[***] through #[***] - [***] USD per Batch = [***] USD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Batch #[***] through #[***] - [***] USD per Batch = [***] USD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Amount owed would be [***] USD.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Section 5.1, entitled “Confidential Information,” is hereby amended by adding the following:</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“(c) Notwithstanding the foregoing, BPC agrees that Sanofi Pasteur may disclose the contents of this Agreement to a prospective successor or Assignee to the Rabies Immunoglobulin business, provided that Sanofi Pasteur and the prospective successor have entered into a confidentiality agreement that would prevent that prospective successor from disclosing this Agreement.”</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BPC Initials 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Sanofi Pasteur Initials ___</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5" w:name="page126"/>
    <w:bookmarkEnd w:id="125"/>
    <w:p>
      <w:pPr>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Section 8.13, entitled “Parties in Interest; Assignment,” is hereby amended by adding the following:</w:t>
      </w:r>
    </w:p>
    <w:p>
      <w:pPr>
        <w:spacing w:after="0" w:line="225"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“Notwithstanding the foregoing, BPC will consent to the assignment of this Agreement to a legal entity that has been approved by both Sanofi Pasteur and BPC (the “</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BPC shall not unreasonably withhold such approval.</w:t>
      </w:r>
    </w:p>
    <w:p>
      <w:pPr>
        <w:spacing w:after="0" w:line="16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In addition to the foregoing, BPC shall allow Sanofi Pasteur’s successor or Assignee to perform quality audits on BPC’s manufacturing site so as to ensure compliance to the terms of the Agreement. Sanofi Pasteur’s successor shall have access to the exact same information and documents to which Sanofi Pasteur is actually entitled to have access to under the Agreement. This section is subject to a fully executed confidentiality agreement between BPC and Sanofi Pasteur’s successor or Assignee.”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All other terms of the Agreement shall remain in full force and effect except to the extent superseded by the terms of this Amendment #2.</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hereby have caused this Amendment #2 to the Agreement to be executed and the persons signing below warrant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are duly authorized to sign for and on behalf of their respective Parties.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Sanofi Pasteur, S.A.</w:t>
            </w:r>
          </w:p>
        </w:tc>
        <w:tc>
          <w:tcPr>
            <w:tcW w:w="4480" w:type="dxa"/>
            <w:vAlign w:val="bottom"/>
            <w:gridSpan w:val="7"/>
          </w:tcPr>
          <w:p>
            <w:pPr>
              <w:ind w:left="1620"/>
              <w:spacing w:after="0"/>
              <w:rPr>
                <w:sz w:val="20"/>
                <w:szCs w:val="20"/>
                <w:color w:val="auto"/>
              </w:rPr>
            </w:pPr>
            <w:r>
              <w:rPr>
                <w:rFonts w:ascii="Times New Roman" w:cs="Times New Roman" w:eastAsia="Times New Roman" w:hAnsi="Times New Roman"/>
                <w:sz w:val="18"/>
                <w:szCs w:val="18"/>
                <w:b w:val="1"/>
                <w:bCs w:val="1"/>
                <w:color w:val="auto"/>
                <w:w w:val="99"/>
              </w:rPr>
              <w:t>Biotest Pharmaceuticals Corporation</w:t>
            </w:r>
          </w:p>
        </w:tc>
      </w:tr>
      <w:tr>
        <w:trPr>
          <w:trHeight w:val="392"/>
        </w:trPr>
        <w:tc>
          <w:tcPr>
            <w:tcW w:w="4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Vincent Hingot</w:t>
            </w:r>
          </w:p>
        </w:tc>
        <w:tc>
          <w:tcPr>
            <w:tcW w:w="4480" w:type="dxa"/>
            <w:vAlign w:val="bottom"/>
            <w:gridSpan w:val="7"/>
          </w:tcPr>
          <w:p>
            <w:pPr>
              <w:ind w:left="1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Ileana Carlisle</w:t>
            </w: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Name: Vincent Hingot</w:t>
            </w:r>
          </w:p>
        </w:tc>
        <w:tc>
          <w:tcPr>
            <w:tcW w:w="4480" w:type="dxa"/>
            <w:vAlign w:val="bottom"/>
            <w:gridSpan w:val="7"/>
          </w:tcPr>
          <w:p>
            <w:pPr>
              <w:ind w:left="1620"/>
              <w:spacing w:after="0"/>
              <w:rPr>
                <w:sz w:val="20"/>
                <w:szCs w:val="20"/>
                <w:color w:val="auto"/>
              </w:rPr>
            </w:pPr>
            <w:r>
              <w:rPr>
                <w:rFonts w:ascii="Times New Roman" w:cs="Times New Roman" w:eastAsia="Times New Roman" w:hAnsi="Times New Roman"/>
                <w:sz w:val="18"/>
                <w:szCs w:val="18"/>
                <w:color w:val="auto"/>
              </w:rPr>
              <w:t>Name: Ileana Carlisle</w:t>
            </w:r>
          </w:p>
        </w:tc>
      </w:tr>
      <w:tr>
        <w:trPr>
          <w:trHeight w:val="20"/>
        </w:trPr>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Title: Head of Global Industrial Affairs</w:t>
            </w:r>
          </w:p>
        </w:tc>
        <w:tc>
          <w:tcPr>
            <w:tcW w:w="4480" w:type="dxa"/>
            <w:vAlign w:val="bottom"/>
            <w:gridSpan w:val="7"/>
          </w:tcPr>
          <w:p>
            <w:pPr>
              <w:ind w:left="162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0"/>
        </w:trPr>
        <w:tc>
          <w:tcPr>
            <w:tcW w:w="440" w:type="dxa"/>
            <w:vAlign w:val="bottom"/>
            <w:gridSpan w:val="2"/>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200" w:type="dxa"/>
            <w:vAlign w:val="bottom"/>
            <w:tcBorders>
              <w:left w:val="single" w:sz="8" w:color="auto"/>
            </w:tcBorders>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 October 16, 2016</w:t>
            </w:r>
          </w:p>
        </w:tc>
        <w:tc>
          <w:tcPr>
            <w:tcW w:w="4480" w:type="dxa"/>
            <w:vAlign w:val="bottom"/>
            <w:gridSpan w:val="7"/>
          </w:tcPr>
          <w:p>
            <w:pPr>
              <w:ind w:left="1620"/>
              <w:spacing w:after="0"/>
              <w:rPr>
                <w:sz w:val="20"/>
                <w:szCs w:val="20"/>
                <w:color w:val="auto"/>
              </w:rPr>
            </w:pPr>
            <w:r>
              <w:rPr>
                <w:rFonts w:ascii="Times New Roman" w:cs="Times New Roman" w:eastAsia="Times New Roman" w:hAnsi="Times New Roman"/>
                <w:sz w:val="18"/>
                <w:szCs w:val="18"/>
                <w:color w:val="auto"/>
              </w:rPr>
              <w:t>Date: September 22, 2016</w:t>
            </w: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BPC Initials 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Sanofi Pasteur Initials ___</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6" w:name="page127"/>
    <w:bookmarkEnd w:id="126"/>
    <w:p>
      <w:pPr>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BPC Initials 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Sanofi Pasteur Initials ___</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7" w:name="page128"/>
    <w:bookmarkEnd w:id="127"/>
    <w:p>
      <w:pPr>
        <w:ind w:right="160"/>
        <w:spacing w:after="0" w:line="244" w:lineRule="auto"/>
        <w:rPr>
          <w:sz w:val="20"/>
          <w:szCs w:val="20"/>
          <w:color w:val="auto"/>
        </w:rPr>
      </w:pPr>
      <w:r>
        <w:rPr>
          <w:rFonts w:ascii="Times New Roman" w:cs="Times New Roman" w:eastAsia="Times New Roman" w:hAnsi="Times New Roman"/>
          <w:sz w:val="22"/>
          <w:szCs w:val="22"/>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#3 to the Manufacturing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Amendment #3 to the Manufacturing Agreement (this “</w:t>
      </w:r>
      <w:r>
        <w:rPr>
          <w:rFonts w:ascii="Times New Roman" w:cs="Times New Roman" w:eastAsia="Times New Roman" w:hAnsi="Times New Roman"/>
          <w:sz w:val="18"/>
          <w:szCs w:val="18"/>
          <w:b w:val="1"/>
          <w:bCs w:val="1"/>
          <w:color w:val="auto"/>
        </w:rPr>
        <w:t>Amendment #3</w:t>
      </w:r>
      <w:r>
        <w:rPr>
          <w:rFonts w:ascii="Times New Roman" w:cs="Times New Roman" w:eastAsia="Times New Roman" w:hAnsi="Times New Roman"/>
          <w:sz w:val="18"/>
          <w:szCs w:val="18"/>
          <w:color w:val="auto"/>
        </w:rPr>
        <w:t>”) is made effective as of December 21, 2017 (“</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ADMA BioManufacturing, LLC</w:t>
      </w:r>
      <w:r>
        <w:rPr>
          <w:rFonts w:ascii="Times New Roman" w:cs="Times New Roman" w:eastAsia="Times New Roman" w:hAnsi="Times New Roman"/>
          <w:sz w:val="18"/>
          <w:szCs w:val="18"/>
          <w:color w:val="auto"/>
        </w:rPr>
        <w:t>, a Delaware limited liability company, having a place of business at 5800 Park of Commerce Boulevard NW, Boca Raton, Florida 33487 USA (“</w:t>
      </w:r>
      <w:r>
        <w:rPr>
          <w:rFonts w:ascii="Times New Roman" w:cs="Times New Roman" w:eastAsia="Times New Roman" w:hAnsi="Times New Roman"/>
          <w:sz w:val="18"/>
          <w:szCs w:val="18"/>
          <w:b w:val="1"/>
          <w:bCs w:val="1"/>
          <w:color w:val="auto"/>
        </w:rPr>
        <w:t>ADMA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Sanofi Pasteur S.A.</w:t>
      </w:r>
      <w:r>
        <w:rPr>
          <w:rFonts w:ascii="Times New Roman" w:cs="Times New Roman" w:eastAsia="Times New Roman" w:hAnsi="Times New Roman"/>
          <w:sz w:val="18"/>
          <w:szCs w:val="18"/>
          <w:color w:val="auto"/>
        </w:rPr>
        <w:t>, a company existing and organized under the laws of France (“</w:t>
      </w:r>
      <w:r>
        <w:rPr>
          <w:rFonts w:ascii="Times New Roman" w:cs="Times New Roman" w:eastAsia="Times New Roman" w:hAnsi="Times New Roman"/>
          <w:sz w:val="18"/>
          <w:szCs w:val="18"/>
          <w:b w:val="1"/>
          <w:bCs w:val="1"/>
          <w:color w:val="auto"/>
        </w:rPr>
        <w:t>Sanofi Pasteur</w:t>
      </w:r>
      <w:r>
        <w:rPr>
          <w:rFonts w:ascii="Times New Roman" w:cs="Times New Roman" w:eastAsia="Times New Roman" w:hAnsi="Times New Roman"/>
          <w:sz w:val="18"/>
          <w:szCs w:val="18"/>
          <w:color w:val="auto"/>
        </w:rPr>
        <w:t>”), having its registered head office at 14, espace Henry Vallee, 69007, Lyon, France.</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ADMA (as successor-in-interest to Biotest Pharmaceuticals Corporation (“</w:t>
      </w:r>
      <w:r>
        <w:rPr>
          <w:rFonts w:ascii="Times New Roman" w:cs="Times New Roman" w:eastAsia="Times New Roman" w:hAnsi="Times New Roman"/>
          <w:sz w:val="18"/>
          <w:szCs w:val="18"/>
          <w:b w:val="1"/>
          <w:bCs w:val="1"/>
          <w:color w:val="auto"/>
        </w:rPr>
        <w:t>BPC</w:t>
      </w:r>
      <w:r>
        <w:rPr>
          <w:rFonts w:ascii="Times New Roman" w:cs="Times New Roman" w:eastAsia="Times New Roman" w:hAnsi="Times New Roman"/>
          <w:sz w:val="18"/>
          <w:szCs w:val="18"/>
          <w:color w:val="auto"/>
        </w:rPr>
        <w:t>”) and Sanofi Pasteur are parties to that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Agreement, effective September 30, 2011, as previously amended (including by that certain Amendment #2 to the Manufacturing Agreement, effective as of August 1, 2016, by and between BPC and Sanofi Pasteur (“</w:t>
      </w:r>
      <w:r>
        <w:rPr>
          <w:rFonts w:ascii="Times New Roman" w:cs="Times New Roman" w:eastAsia="Times New Roman" w:hAnsi="Times New Roman"/>
          <w:sz w:val="18"/>
          <w:szCs w:val="18"/>
          <w:b w:val="1"/>
          <w:bCs w:val="1"/>
          <w:color w:val="auto"/>
        </w:rPr>
        <w:t>Amendment #2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for the production of Rabies Fraction II Paste (the “Product,” as further defined in the Agreement) for Sanofi Pasteur from human plasma containing rabies antibodies;</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BPC and Sanofi Pasteur are Parties to that certain Plasma Supply Agreement, effective January 20, 2009, as amended (the “</w:t>
      </w:r>
      <w:r>
        <w:rPr>
          <w:rFonts w:ascii="Times New Roman" w:cs="Times New Roman" w:eastAsia="Times New Roman" w:hAnsi="Times New Roman"/>
          <w:sz w:val="18"/>
          <w:szCs w:val="18"/>
          <w:b w:val="1"/>
          <w:bCs w:val="1"/>
          <w:color w:val="auto"/>
        </w:rPr>
        <w:t>Plasma Supply Agreement</w:t>
      </w:r>
      <w:r>
        <w:rPr>
          <w:rFonts w:ascii="Times New Roman" w:cs="Times New Roman" w:eastAsia="Times New Roman" w:hAnsi="Times New Roman"/>
          <w:sz w:val="18"/>
          <w:szCs w:val="18"/>
          <w:color w:val="auto"/>
        </w:rPr>
        <w:t>”), for the production of human Rabies Hyperimmune Plasma (“</w:t>
      </w:r>
      <w:r>
        <w:rPr>
          <w:rFonts w:ascii="Times New Roman" w:cs="Times New Roman" w:eastAsia="Times New Roman" w:hAnsi="Times New Roman"/>
          <w:sz w:val="18"/>
          <w:szCs w:val="18"/>
          <w:b w:val="1"/>
          <w:bCs w:val="1"/>
          <w:color w:val="auto"/>
        </w:rPr>
        <w:t>Rabies Plasma</w:t>
      </w:r>
      <w:r>
        <w:rPr>
          <w:rFonts w:ascii="Times New Roman" w:cs="Times New Roman" w:eastAsia="Times New Roman" w:hAnsi="Times New Roman"/>
          <w:sz w:val="18"/>
          <w:szCs w:val="18"/>
          <w:color w:val="auto"/>
        </w:rPr>
        <w:t>”) by BPC for Sanofi Pasteur to be used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of Rabies Immunoglobulin;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Rabies Plasma manufactured by BPC under the Plasma Supply Agreement may be transferred to ADMA to be fractionated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under the Agreement;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ADMA and Sanofi Pasteur desire to further amend the Agreement in order to memorialize the amendment of certain provisions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respective promises contained herein and other valuable consideration, the receipt and sufficiency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hereby acknowledged, and intending to be legally bound hereby, the Parties hereto agree as follows:</w:t>
      </w:r>
    </w:p>
    <w:p>
      <w:pPr>
        <w:spacing w:after="0" w:line="159" w:lineRule="exact"/>
        <w:rPr>
          <w:sz w:val="20"/>
          <w:szCs w:val="20"/>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and not defined in this Amendment shall have the meaning as set out in the Agreement.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terms set forth in Section 1 of Amendment #2 (the “Prior Supply Terms”) are hereby deleted in their entirety. In their place, the Parties agree to the following (and Section 2.1 of the Agreement is hereby amended as needed to implement the following):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Sanofi Pasteur agrees to purchase and ADMA to manufacture [***] Batches of Product, which Batches will be produced over a period from Q3 2018 to Q3 2019. Attached hereto as Exhibit A is a detailed supply plan provided to ADMA by Sanofi Pasteur (the “Updated Supply Plan”) that describes the agreed-upon timing for production of such Batches of Product, which supply plan is made an integral part hereof and shall be binding on the Parties. Prices for such [***] Batches of Product shall be in accordance with Section 3.2 of the Agreement (as amended in Amendment #2).</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BPC Initials 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Sanofi Pasteur Initials ___</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28" w:name="page129"/>
    <w:bookmarkEnd w:id="128"/>
    <w:p>
      <w:pPr>
        <w:jc w:val="both"/>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Parties agree to amend the Agreement to impose on ADMA an obligation to supply a minimum of [***] Batches of Product for that period stalling from Q4 2018 up to Q4 2019, as further specified in Exhibit A attached hereto.</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ADMA fail to supply a minimum of [***] Batches of Product (the “Minimum Volume”) of Product during the time period as specified in this Amendment #3, ADMA agrees that Sanofi Pasteur shall be entitled to obtain from ADMA as liquidated damages, and not a penalty, amounting to $[***] ([***]) USD. ADMA accepts and declares that the amount of the liquidated damages is a fair and equitable compensation, and not a penalty, for such failure in reaching the volume commitment within the timelines agreed herein and in regard to the value and use of the Source Plasma.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Minimum Volume of Product to be manufactured by ADMA, should ADMA deliver the Minimum Volume of Product but fail to meet the Updated Supply Plan as provided in Exhibit A as attached hereto and made an integral part hereof, then it is agreed upon by the Parties that ADMA shall pay to Sanofi Pasteur an amount equal to $[***] ([***]) USD for each Batch of Product that is less than the agreed upon quantity in Exhibit A, as liquidated damages, and not as a penalty.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liquidated damages [***] respect to the [***] within the [***] agreed in this Amendment #3. [***] not be entitled to [***] by this Agreement as a result of [***], including without limitation [***]. Notwithstanding the foregoing, [***], sections 6.1 and 6.2 of the Agreement [***].</w:t>
      </w:r>
    </w:p>
    <w:p>
      <w:pPr>
        <w:spacing w:after="0" w:line="162" w:lineRule="exact"/>
        <w:rPr>
          <w:sz w:val="20"/>
          <w:szCs w:val="20"/>
          <w:color w:val="auto"/>
        </w:rPr>
      </w:pPr>
    </w:p>
    <w:p>
      <w:pPr>
        <w:jc w:val="both"/>
        <w:ind w:firstLine="8"/>
        <w:spacing w:after="0" w:line="255" w:lineRule="auto"/>
        <w:tabs>
          <w:tab w:leader="none" w:pos="4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should ADMA’s compliance status under the FDA Warning Letter be escalated, and if such consequence limits ADMA’s ability to supply the Batches of Product as specified in this Amendment #3 and the Updated Supply Plan or in case of failure by ADMA to supply any Batch of Product under this Amendment, Sanofi Pasteur shall be entitled to terminate immediately this Agreement upon written notice to ADMA and Sanofi Pasteur shall not be obligated to provide any additional payments (as outlined in Section 5 below and payments for any of the unproduced or delivered production batches) to ADMA from the date of such termination. In such a case, the remaining Source Plasma shall be immediately returned to Sanofi Pasteur, under ADMA’s liability and expenses. Shipment of the Source Plasma to Sanofi Pasteur shall be made in compliance with the transportation conditions as provided in the Quality Agreement (as defined below), to be further amended by the Parties as contemplated in Section 9 below.</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BPC Initials 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Sanofi Pasteur Initials ___</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9" w:name="page130"/>
    <w:bookmarkEnd w:id="129"/>
    <w:p>
      <w:pPr>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jc w:val="both"/>
        <w:ind w:firstLine="8"/>
        <w:spacing w:after="0" w:line="258" w:lineRule="auto"/>
        <w:tabs>
          <w:tab w:leader="none" w:pos="5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non-conformance in the Source Plasma at the time of delivery of the Source plasma at ADMA’s place, or in the event of damaged Source Plasma, which non-conformance, damage or loss in the Source Plasma occurred prior to the transfer of risks in the Source Plasma to ADMA as per Section 7 below, it is agreed upon by the Parties that Sanofi Pasteur shall not be responsible, nor liable, to compensate or indemnify ADMA for the loss of business arising from the fact that, in such a case, the Source Plasma will no longer be manufactured by ADMA and consequently Sanofi Pasteur will not pay for the unproduced batch.</w:t>
      </w:r>
    </w:p>
    <w:p>
      <w:pPr>
        <w:spacing w:after="0" w:line="183" w:lineRule="exact"/>
        <w:rPr>
          <w:rFonts w:ascii="Times New Roman" w:cs="Times New Roman" w:eastAsia="Times New Roman" w:hAnsi="Times New Roman"/>
          <w:sz w:val="18"/>
          <w:szCs w:val="18"/>
          <w:color w:val="auto"/>
        </w:rPr>
      </w:pPr>
    </w:p>
    <w:p>
      <w:pPr>
        <w:jc w:val="both"/>
        <w:ind w:firstLine="8"/>
        <w:spacing w:after="0" w:line="261" w:lineRule="auto"/>
        <w:tabs>
          <w:tab w:leader="none" w:pos="54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certain quantities of Product that ADMA would have been contractually obligated to supply, and that Sanofi Pasteur would have been contractually obligated to purchase, under the Agreement, but that will now not be supplied and purchased as a result of the Parties’ agreement in Section 2 above, Sanofi Pasteur agrees to pay ADMA an amount of seven million (7,000,000 USD) (the “Compensation Fee”) in five installments and will be invoiced as follows:</w:t>
      </w:r>
    </w:p>
    <w:p>
      <w:pPr>
        <w:spacing w:after="0" w:line="180" w:lineRule="exact"/>
        <w:rPr>
          <w:rFonts w:ascii="Times New Roman" w:cs="Times New Roman" w:eastAsia="Times New Roman" w:hAnsi="Times New Roman"/>
          <w:sz w:val="18"/>
          <w:szCs w:val="18"/>
          <w:color w:val="auto"/>
        </w:rPr>
      </w:pPr>
    </w:p>
    <w:p>
      <w:pPr>
        <w:ind w:left="1080" w:hanging="356"/>
        <w:spacing w:after="0"/>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USD upon execution of this Amendment #3</w:t>
      </w:r>
    </w:p>
    <w:p>
      <w:pPr>
        <w:spacing w:after="0" w:line="225" w:lineRule="exact"/>
        <w:rPr>
          <w:rFonts w:ascii="Times New Roman" w:cs="Times New Roman" w:eastAsia="Times New Roman" w:hAnsi="Times New Roman"/>
          <w:sz w:val="18"/>
          <w:szCs w:val="18"/>
          <w:color w:val="auto"/>
        </w:rPr>
      </w:pPr>
    </w:p>
    <w:p>
      <w:pPr>
        <w:ind w:left="1080" w:hanging="356"/>
        <w:spacing w:after="0"/>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USD on March 1, 2018</w:t>
      </w:r>
    </w:p>
    <w:p>
      <w:pPr>
        <w:spacing w:after="0" w:line="225" w:lineRule="exact"/>
        <w:rPr>
          <w:rFonts w:ascii="Times New Roman" w:cs="Times New Roman" w:eastAsia="Times New Roman" w:hAnsi="Times New Roman"/>
          <w:sz w:val="18"/>
          <w:szCs w:val="18"/>
          <w:color w:val="auto"/>
        </w:rPr>
      </w:pPr>
    </w:p>
    <w:p>
      <w:pPr>
        <w:ind w:left="1080" w:hanging="356"/>
        <w:spacing w:after="0"/>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USD on June 1, 2018</w:t>
      </w:r>
    </w:p>
    <w:p>
      <w:pPr>
        <w:spacing w:after="0" w:line="225" w:lineRule="exact"/>
        <w:rPr>
          <w:rFonts w:ascii="Times New Roman" w:cs="Times New Roman" w:eastAsia="Times New Roman" w:hAnsi="Times New Roman"/>
          <w:sz w:val="18"/>
          <w:szCs w:val="18"/>
          <w:color w:val="auto"/>
        </w:rPr>
      </w:pPr>
    </w:p>
    <w:p>
      <w:pPr>
        <w:ind w:left="1080" w:hanging="356"/>
        <w:spacing w:after="0"/>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USD on September 1, 2018</w:t>
      </w:r>
    </w:p>
    <w:p>
      <w:pPr>
        <w:spacing w:after="0" w:line="225" w:lineRule="exact"/>
        <w:rPr>
          <w:rFonts w:ascii="Times New Roman" w:cs="Times New Roman" w:eastAsia="Times New Roman" w:hAnsi="Times New Roman"/>
          <w:sz w:val="18"/>
          <w:szCs w:val="18"/>
          <w:color w:val="auto"/>
        </w:rPr>
      </w:pPr>
    </w:p>
    <w:p>
      <w:pPr>
        <w:ind w:left="1080" w:hanging="356"/>
        <w:spacing w:after="0"/>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USD on December 1, 2018</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payments shall be made in accordance with Section 3.4 of the Agreement; provided, however, that the initial payment described in Section 5(a) above shall be due no later than December 31,2017.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invoice shall reference this Amendment 3 and shall be sent at the following address: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Sanofi Pasteur SA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DSFF Pole de Lyon – Carteret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Tri C5-2-01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Espace Henry Vallee CS 90119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69361 LYON CEDEX 07 - FRANCE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Upon payment of the Compensation Fee, ADMA shall be fully compensated for any kind of prejudice or damages ADMA may suffer arising from or related to the decrease in the quantities of Product Sanofi Pasteur committed to purchase initially from ADMA as per the Prior Supply Terms. ADMA declares that the Compensation Fee is fair and equitable.</w:t>
      </w:r>
    </w:p>
    <w:p>
      <w:pPr>
        <w:spacing w:after="0" w:line="176" w:lineRule="exact"/>
        <w:rPr>
          <w:sz w:val="20"/>
          <w:szCs w:val="20"/>
          <w:color w:val="auto"/>
        </w:rPr>
      </w:pPr>
    </w:p>
    <w:p>
      <w:pPr>
        <w:jc w:val="both"/>
        <w:ind w:firstLine="8"/>
        <w:spacing w:after="0" w:line="258" w:lineRule="auto"/>
        <w:tabs>
          <w:tab w:leader="none" w:pos="4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full payment of the Compensation Fee, each Party, with the intention of binding itself, its Affiliates, shareholders, successors and assigns, hereby releases, remises and forever discharges the other Party, and its Affiliates, employees, directors, shareholders, successors and assigns, from all actions, causes of action, suits, debts, dues, sums of money, accounts, covenants, contracts, controversies, agreements, promises, damages, claims and demands whatsoever, in law, contract or equity, arising directly out of, or relating to the Updated Supply Plan and/or the amount of the Compensation Fee Sanofi agrees to pay to ADMA.</w:t>
      </w: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BPC Initials 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Sanofi Pasteur Initials ___</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0" w:name="page131"/>
    <w:bookmarkEnd w:id="130"/>
    <w:p>
      <w:pPr>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2" w:lineRule="exact"/>
        <w:rPr>
          <w:sz w:val="20"/>
          <w:szCs w:val="20"/>
          <w:color w:val="auto"/>
        </w:rPr>
      </w:pPr>
    </w:p>
    <w:p>
      <w:pPr>
        <w:ind w:left="500" w:hanging="492"/>
        <w:spacing w:after="0"/>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further agree to amend Section 6.5 of the Agreement as follows: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16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cap set forth under section 6.5 is hereby amended to adapt to the provisions of this Amendment #3 and is therefore set at “[***]” instead of “[***]”.</w:t>
      </w:r>
    </w:p>
    <w:p>
      <w:pPr>
        <w:spacing w:after="0" w:line="161"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sentence of Section 6.5 of the Agreement is hereby deleted and replaced with the following:</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Unless Section 2.7 applies, and subject to any risk of loss assumed by BPC under the Plasma Agreement (as amended) or that certain [Termination, Settlement and Release Agreement] between BPC and Sanofi Pasteur, [of even date herewith], Sanofi Pasteur assumes all risk of loss for all Source Plasma (the “</w:t>
      </w:r>
      <w:r>
        <w:rPr>
          <w:rFonts w:ascii="Times New Roman" w:cs="Times New Roman" w:eastAsia="Times New Roman" w:hAnsi="Times New Roman"/>
          <w:sz w:val="18"/>
          <w:szCs w:val="18"/>
          <w:b w:val="1"/>
          <w:bCs w:val="1"/>
          <w:color w:val="auto"/>
        </w:rPr>
        <w:t>Sanofi Pasteur Property”</w:t>
      </w:r>
      <w:r>
        <w:rPr>
          <w:rFonts w:ascii="Times New Roman" w:cs="Times New Roman" w:eastAsia="Times New Roman" w:hAnsi="Times New Roman"/>
          <w:sz w:val="18"/>
          <w:szCs w:val="18"/>
          <w:color w:val="auto"/>
        </w:rPr>
        <w:t>) while under storage conditions at BPC’s warehouse except in case such loss occurs as a result of BPC negligence or willful misconduct, and Sanofi Pasteur hereby waives any and all rights of recovery against ADMA and its Affiliates, and against any of their respective directors, officers, employees, agents or representative, for any loss or damage to the Sanofi Pasteur Property while under storage conditions at BPC’s warehouse. At such time that the Source Plasma is delivered to the ADMA loading dock located at 5800 Park of Commerce Blvd NW, Boca Raton, FL 33487, risk of loss for such delivered Source Plasma shall, as between Sanofi Pasteur and ADMA, transfer to ADMA. ADMA agrees to assume the risks of loss to the Sanofi Pasteur Property and shall reimburse Sanofi Pasteur, at the dollar value, the Source Plasma in case of damage or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foregoing, Section 6.5 is deleted in its entirety and replaced by the following:</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6.5 Limitation of Liability: In no event shall either party be liable to the other party for incidental, indirect, special and consequential or punitive damages, including without limitation any claims for damages based upon lost profits or lost business opportunity. Except for the obligation of indemnity as set forth in Section 6.1 (c) with respect to claims by third parties for personal injury, illness or death (but not including property damage) resulting from the manufacture of the Product by BPC, aggregate damages for which ADMA shall be liable to Sanofi Pasteur hereunder, including without limitation costs of Source Plasma yield loss and/or rejected Batches, shall not exceed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All claims by Sanofi Pasteur for breach or default under this Agreement shall be brought within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year after the cause of action comes into existence or otherwise shall be waived. This limitation of liability will not apply for damages that result from the gross negligence or the willful misconduct of a Party.</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BPC Initials 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Sanofi Pasteur Initials ___</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1" w:name="page132"/>
    <w:bookmarkEnd w:id="13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Furthermore, unless Section 2.7 applies, and subject to any risk of loss assumed by BPC under the Plasma Agreement (as amended) or that certain [Termination, Settlement and Release Agreement] between BPC and Sanofi Pasteur, [of even date herewith], Sanofi Pasteur assumes all risk of loss for all Source Plasma (the “</w:t>
      </w:r>
      <w:r>
        <w:rPr>
          <w:rFonts w:ascii="Times New Roman" w:cs="Times New Roman" w:eastAsia="Times New Roman" w:hAnsi="Times New Roman"/>
          <w:sz w:val="18"/>
          <w:szCs w:val="18"/>
          <w:b w:val="1"/>
          <w:bCs w:val="1"/>
          <w:i w:val="1"/>
          <w:iCs w:val="1"/>
          <w:color w:val="auto"/>
        </w:rPr>
        <w:t>Sanofi Pasteur Property”</w:t>
      </w:r>
      <w:r>
        <w:rPr>
          <w:rFonts w:ascii="Times New Roman" w:cs="Times New Roman" w:eastAsia="Times New Roman" w:hAnsi="Times New Roman"/>
          <w:sz w:val="18"/>
          <w:szCs w:val="18"/>
          <w:i w:val="1"/>
          <w:iCs w:val="1"/>
          <w:color w:val="auto"/>
        </w:rPr>
        <w:t>) while under storage conditions at BPC’s warehouse except in case such loss occurs as a result of BPC negligence or willful misconduct, and Sanofi Pasteur hereby waives any and all rights of recovery against ADMA and its Affiliates, and against any of their respective directors, officers, employees, agents or representative, for any loss or damage to the Sanofi Pasteur Property while under storage conditions at BPC’s warehouse. At such time that the Source Plasma is delivered to the ADMA loading dock located at 5800 Park of Commerce Blvd NW, Boca Raton, FL 33487, risk of loss for such delivered Source Plasma shall, as between Sanofi Pasteur and ADMA, transfer to ADMA. ADMA agrees to assume the risks of loss to the Sanofi Pasteur Property and shall reimburse Sanofi Pasteur, at the dollar value, the Source Plasma in case of damage or loss.</w:t>
      </w:r>
    </w:p>
    <w:p>
      <w:pPr>
        <w:spacing w:after="0" w:line="187" w:lineRule="exact"/>
        <w:rPr>
          <w:sz w:val="20"/>
          <w:szCs w:val="20"/>
          <w:color w:val="auto"/>
        </w:rPr>
      </w:pPr>
    </w:p>
    <w:p>
      <w:pPr>
        <w:jc w:val="both"/>
        <w:ind w:firstLine="8"/>
        <w:spacing w:after="0" w:line="261" w:lineRule="auto"/>
        <w:tabs>
          <w:tab w:leader="none" w:pos="5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further agree to amend that certain Quality and Technical Agreement between Sanofi Pasteur and ADMA (as successor to BPC) effective as of September 15, 2015 (the “Quality Agreement”) to modify the address where the Source Plasma shall be stocked and the conditions associated therewith, as well as to ensure consistency with the other terms of this Amendment. The Parties shall use best efforts to complete such amendment to the Quality Agreement within 60 days after the Amendment Effective Date.</w:t>
      </w:r>
    </w:p>
    <w:p>
      <w:pPr>
        <w:spacing w:after="0" w:line="180"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of the Agreement shall remain in full force and effect except to the extent superseded by the terms of this Amendment #3.</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hereby have caused this Amendment #3 to the Agreement to be executed and the persons signing below warrant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are duly authorized to sign for and on behalf of their respective Parties.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Made in two original copies.</w:t>
            </w:r>
          </w:p>
        </w:tc>
        <w:tc>
          <w:tcPr>
            <w:tcW w:w="1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Sanofi Pasteur, S.A.</w:t>
            </w:r>
          </w:p>
        </w:tc>
        <w:tc>
          <w:tcPr>
            <w:tcW w:w="372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w w:val="99"/>
              </w:rPr>
              <w:t>ADMA BioManufacturing, LLC</w:t>
            </w:r>
          </w:p>
        </w:tc>
      </w:tr>
      <w:tr>
        <w:trPr>
          <w:trHeight w:val="39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Vincent Hingot</w:t>
            </w:r>
          </w:p>
        </w:tc>
        <w:tc>
          <w:tcPr>
            <w:tcW w:w="37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Adam Grossman</w:t>
            </w:r>
          </w:p>
        </w:tc>
      </w:tr>
      <w:tr>
        <w:trPr>
          <w:trHeight w:val="20"/>
        </w:trPr>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Vincent Hingot</w:t>
            </w:r>
          </w:p>
        </w:tc>
        <w:tc>
          <w:tcPr>
            <w:tcW w:w="37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Name: Adam Grossman</w:t>
            </w:r>
          </w:p>
        </w:tc>
      </w:tr>
      <w:tr>
        <w:trPr>
          <w:trHeight w:val="216"/>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Senior Vice President Industrial Affairs</w:t>
            </w:r>
          </w:p>
        </w:tc>
        <w:tc>
          <w:tcPr>
            <w:tcW w:w="37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Title: President &amp; CEO</w:t>
            </w:r>
          </w:p>
        </w:tc>
      </w:tr>
      <w:tr>
        <w:trPr>
          <w:trHeight w:val="234"/>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22 Dec. 2017</w:t>
            </w:r>
          </w:p>
        </w:tc>
        <w:tc>
          <w:tcPr>
            <w:tcW w:w="37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Date: 12-21-2017</w:t>
            </w:r>
          </w:p>
        </w:tc>
      </w:tr>
    </w:tbl>
    <w:p>
      <w:pPr>
        <w:spacing w:after="0" w:line="306"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7"/>
          <w:szCs w:val="17"/>
          <w:color w:val="auto"/>
        </w:rPr>
        <w:t>BPC Initials ___</w:t>
      </w:r>
    </w:p>
    <w:p>
      <w:pPr>
        <w:spacing w:after="0" w:line="3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7"/>
          <w:szCs w:val="17"/>
          <w:color w:val="auto"/>
        </w:rPr>
        <w:t>Sanofi Pasteur Initials ___</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2" w:name="page133"/>
    <w:bookmarkEnd w:id="132"/>
    <w:p>
      <w:pPr>
        <w:spacing w:after="0" w:line="282" w:lineRule="auto"/>
        <w:rPr>
          <w:sz w:val="20"/>
          <w:szCs w:val="20"/>
          <w:color w:val="auto"/>
        </w:rPr>
      </w:pPr>
      <w:r>
        <w:rPr>
          <w:rFonts w:ascii="Times New Roman" w:cs="Times New Roman" w:eastAsia="Times New Roman" w:hAnsi="Times New Roman"/>
          <w:sz w:val="18"/>
          <w:szCs w:val="18"/>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ADMA Initials 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Sanofi Pasteur Initials ___</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(File Nos. 333-220058, 333-204590, and 333-193635) and Form S-3 (File No. 333-218802) filed by ADMA Biologics, Inc. of our report, which includes an explanatory paragraph relating to the Company’s ability to continue as a going concern, dated March 29, 2018, on our audits of the consolidated financial statements of ADMA Biologics, Inc. and Subsidiaries as of December 31, 2017 and 2016 and for the years then ended, included in this Annual Report on Form 10-K of ADMA Biologics, Inc. for the year ended December 31, 2017.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Roseland, New Jersey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2018</w:t>
      </w:r>
    </w:p>
    <w:p>
      <w:pPr>
        <w:sectPr>
          <w:pgSz w:w="11900" w:h="16838" w:orient="portrait"/>
          <w:cols w:equalWidth="0" w:num="1">
            <w:col w:w="11420"/>
          </w:cols>
          <w:pgMar w:left="240" w:top="364" w:right="2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S. Grossman, certify that:</w:t>
      </w:r>
    </w:p>
    <w:p>
      <w:pPr>
        <w:spacing w:after="0" w:line="225" w:lineRule="exact"/>
        <w:rPr>
          <w:sz w:val="20"/>
          <w:szCs w:val="20"/>
          <w:color w:val="auto"/>
        </w:rPr>
      </w:pPr>
    </w:p>
    <w:p>
      <w:pPr>
        <w:ind w:left="500" w:hanging="330"/>
        <w:spacing w:after="0"/>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ADMA Biologics, Inc. for the year ended December 31, 2017;</w:t>
      </w:r>
    </w:p>
    <w:p>
      <w:pPr>
        <w:spacing w:after="0" w:line="225" w:lineRule="exact"/>
        <w:rPr>
          <w:rFonts w:ascii="Times New Roman" w:cs="Times New Roman" w:eastAsia="Times New Roman" w:hAnsi="Times New Roman"/>
          <w:sz w:val="18"/>
          <w:szCs w:val="18"/>
          <w:color w:val="auto"/>
        </w:rPr>
      </w:pPr>
    </w:p>
    <w:p>
      <w:pPr>
        <w:jc w:val="both"/>
        <w:ind w:left="500" w:right="460" w:hanging="330"/>
        <w:spacing w:after="0" w:line="266" w:lineRule="auto"/>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00" w:right="420" w:hanging="330"/>
        <w:spacing w:after="0" w:line="282" w:lineRule="auto"/>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0" w:hanging="330"/>
        <w:spacing w:after="0" w:line="266" w:lineRule="auto"/>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40" w:right="60" w:hanging="322"/>
        <w:spacing w:after="0" w:line="266" w:lineRule="auto"/>
        <w:tabs>
          <w:tab w:leader="none" w:pos="11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80" w:hanging="322"/>
        <w:spacing w:after="0" w:line="266" w:lineRule="auto"/>
        <w:tabs>
          <w:tab w:leader="none" w:pos="11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40" w:right="540" w:hanging="322"/>
        <w:spacing w:after="0" w:line="282" w:lineRule="auto"/>
        <w:tabs>
          <w:tab w:leader="none" w:pos="11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60" w:hanging="322"/>
        <w:spacing w:after="0" w:line="266" w:lineRule="auto"/>
        <w:tabs>
          <w:tab w:leader="none" w:pos="11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00" w:right="340" w:hanging="330"/>
        <w:spacing w:after="0" w:line="282" w:lineRule="auto"/>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800" w:hanging="322"/>
        <w:spacing w:after="0" w:line="282" w:lineRule="auto"/>
        <w:tabs>
          <w:tab w:leader="none" w:pos="11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322"/>
        <w:spacing w:after="0" w:line="282" w:lineRule="auto"/>
        <w:tabs>
          <w:tab w:leader="none" w:pos="11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March 29, 2018</w:t>
            </w:r>
          </w:p>
        </w:tc>
        <w:tc>
          <w:tcPr>
            <w:tcW w:w="5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Adam S. Grossman</w:t>
            </w:r>
          </w:p>
        </w:tc>
      </w:tr>
      <w:tr>
        <w:trPr>
          <w:trHeight w:val="191"/>
        </w:trPr>
        <w:tc>
          <w:tcPr>
            <w:tcW w:w="6300" w:type="dxa"/>
            <w:vAlign w:val="bottom"/>
          </w:tcPr>
          <w:p>
            <w:pPr>
              <w:spacing w:after="0"/>
              <w:rPr>
                <w:sz w:val="16"/>
                <w:szCs w:val="16"/>
                <w:color w:val="auto"/>
              </w:rPr>
            </w:pPr>
          </w:p>
        </w:tc>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Adam S. Grossman</w:t>
            </w:r>
          </w:p>
        </w:tc>
      </w:tr>
      <w:tr>
        <w:trPr>
          <w:trHeight w:val="216"/>
        </w:trPr>
        <w:tc>
          <w:tcPr>
            <w:tcW w:w="63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Lenz, certify that:</w:t>
      </w:r>
    </w:p>
    <w:p>
      <w:pPr>
        <w:spacing w:after="0" w:line="225" w:lineRule="exact"/>
        <w:rPr>
          <w:sz w:val="20"/>
          <w:szCs w:val="20"/>
          <w:color w:val="auto"/>
        </w:rPr>
      </w:pPr>
    </w:p>
    <w:p>
      <w:pPr>
        <w:ind w:left="500" w:hanging="330"/>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ADMA Biologics, Inc. for the year ended December 31, 2017;</w:t>
      </w:r>
    </w:p>
    <w:p>
      <w:pPr>
        <w:spacing w:after="0" w:line="225" w:lineRule="exact"/>
        <w:rPr>
          <w:rFonts w:ascii="Times New Roman" w:cs="Times New Roman" w:eastAsia="Times New Roman" w:hAnsi="Times New Roman"/>
          <w:sz w:val="18"/>
          <w:szCs w:val="18"/>
          <w:color w:val="auto"/>
        </w:rPr>
      </w:pPr>
    </w:p>
    <w:p>
      <w:pPr>
        <w:jc w:val="both"/>
        <w:ind w:left="500" w:right="460" w:hanging="330"/>
        <w:spacing w:after="0" w:line="266" w:lineRule="auto"/>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00" w:right="420" w:hanging="330"/>
        <w:spacing w:after="0" w:line="282" w:lineRule="auto"/>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0" w:hanging="330"/>
        <w:spacing w:after="0" w:line="266" w:lineRule="auto"/>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40" w:right="60" w:hanging="322"/>
        <w:spacing w:after="0" w:line="266" w:lineRule="auto"/>
        <w:tabs>
          <w:tab w:leader="none" w:pos="11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80" w:hanging="322"/>
        <w:spacing w:after="0" w:line="266" w:lineRule="auto"/>
        <w:tabs>
          <w:tab w:leader="none" w:pos="11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40" w:right="540" w:hanging="322"/>
        <w:spacing w:after="0" w:line="282" w:lineRule="auto"/>
        <w:tabs>
          <w:tab w:leader="none" w:pos="11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60" w:hanging="322"/>
        <w:spacing w:after="0" w:line="266" w:lineRule="auto"/>
        <w:tabs>
          <w:tab w:leader="none" w:pos="11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00" w:right="340" w:hanging="330"/>
        <w:spacing w:after="0" w:line="282" w:lineRule="auto"/>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800" w:hanging="322"/>
        <w:spacing w:after="0" w:line="282" w:lineRule="auto"/>
        <w:tabs>
          <w:tab w:leader="none" w:pos="11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322"/>
        <w:spacing w:after="0" w:line="282" w:lineRule="auto"/>
        <w:tabs>
          <w:tab w:leader="none" w:pos="11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March 29, 2018</w:t>
            </w:r>
          </w:p>
        </w:tc>
        <w:tc>
          <w:tcPr>
            <w:tcW w:w="5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Brian Lenz</w:t>
            </w:r>
          </w:p>
        </w:tc>
      </w:tr>
      <w:tr>
        <w:trPr>
          <w:trHeight w:val="191"/>
        </w:trPr>
        <w:tc>
          <w:tcPr>
            <w:tcW w:w="6300" w:type="dxa"/>
            <w:vAlign w:val="bottom"/>
          </w:tcPr>
          <w:p>
            <w:pPr>
              <w:spacing w:after="0"/>
              <w:rPr>
                <w:sz w:val="16"/>
                <w:szCs w:val="16"/>
                <w:color w:val="auto"/>
              </w:rPr>
            </w:pPr>
          </w:p>
        </w:tc>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Brian Lenz</w:t>
            </w:r>
          </w:p>
        </w:tc>
      </w:tr>
      <w:tr>
        <w:trPr>
          <w:trHeight w:val="216"/>
        </w:trPr>
        <w:tc>
          <w:tcPr>
            <w:tcW w:w="63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r>
        <w:trPr>
          <w:trHeight w:val="234"/>
        </w:trPr>
        <w:tc>
          <w:tcPr>
            <w:tcW w:w="6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420"/>
          </w:cols>
          <w:pgMar w:left="240" w:top="364" w:right="2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ADMA Biologics, Inc., a Delaware corporation (the “Company”), on Form 10-K for the year ended December 31, 2017, as filed with the Securities and Exchange Commission on the date hereof (the “Report”), I, Adam S. Grossman, President and Chief Executive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March 29, 2018</w:t>
            </w:r>
          </w:p>
        </w:tc>
        <w:tc>
          <w:tcPr>
            <w:tcW w:w="5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Adam S. Grossman</w:t>
            </w:r>
          </w:p>
        </w:tc>
      </w:tr>
      <w:tr>
        <w:trPr>
          <w:trHeight w:val="191"/>
        </w:trPr>
        <w:tc>
          <w:tcPr>
            <w:tcW w:w="6180" w:type="dxa"/>
            <w:vAlign w:val="bottom"/>
          </w:tcPr>
          <w:p>
            <w:pPr>
              <w:spacing w:after="0"/>
              <w:rPr>
                <w:sz w:val="16"/>
                <w:szCs w:val="16"/>
                <w:color w:val="auto"/>
              </w:rPr>
            </w:pPr>
          </w:p>
        </w:tc>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Adam S. Grossman</w:t>
            </w:r>
          </w:p>
        </w:tc>
      </w:tr>
      <w:tr>
        <w:trPr>
          <w:trHeight w:val="216"/>
        </w:trPr>
        <w:tc>
          <w:tcPr>
            <w:tcW w:w="61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07"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ADMA Biologics, Inc., a Delaware corporation (the “Company”), on Form 10-K for the year ended December 31, 2017, as filed with the Securities and Exchange Commission on the date hereof (the “Report”), I, Brian Lenz, Chief Financial Officer of the Company, hereby certify, pursuant to 18 U.S.C. Section 1350, as adopted pursuant to Section 906 of the Sarbanes-Oxley Act of 2002, that, to my knowledge:</w:t>
      </w:r>
    </w:p>
    <w:p>
      <w:pPr>
        <w:spacing w:after="0" w:line="158"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March 29, 2018</w:t>
            </w:r>
          </w:p>
        </w:tc>
        <w:tc>
          <w:tcPr>
            <w:tcW w:w="5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Brian Lenz</w:t>
            </w:r>
          </w:p>
        </w:tc>
      </w:tr>
      <w:tr>
        <w:trPr>
          <w:trHeight w:val="191"/>
        </w:trPr>
        <w:tc>
          <w:tcPr>
            <w:tcW w:w="6300" w:type="dxa"/>
            <w:vAlign w:val="bottom"/>
          </w:tcPr>
          <w:p>
            <w:pPr>
              <w:spacing w:after="0"/>
              <w:rPr>
                <w:sz w:val="16"/>
                <w:szCs w:val="16"/>
                <w:color w:val="auto"/>
              </w:rPr>
            </w:pPr>
          </w:p>
        </w:tc>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Brian Lenz</w:t>
            </w:r>
          </w:p>
        </w:tc>
      </w:tr>
      <w:tr>
        <w:trPr>
          <w:trHeight w:val="216"/>
        </w:trPr>
        <w:tc>
          <w:tcPr>
            <w:tcW w:w="63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r>
        <w:trPr>
          <w:trHeight w:val="234"/>
        </w:trPr>
        <w:tc>
          <w:tcPr>
            <w:tcW w:w="6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lowerRoman"/>
      <w:start w:val="2"/>
    </w:lvl>
  </w:abstractNum>
  <w:abstractNum w:abstractNumId="22">
    <w:nsid w:val="725A06FB"/>
    <w:multiLevelType w:val="hybridMultilevel"/>
    <w:lvl w:ilvl="0">
      <w:lvlJc w:val="left"/>
      <w:lvlText w:val="(%1)"/>
      <w:numFmt w:val="lowerLetter"/>
      <w:start w:val="1"/>
    </w:lvl>
    <w:lvl w:ilvl="1">
      <w:lvlJc w:val="left"/>
      <w:lvlText w:val="(%2)"/>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2"/>
    </w:lvl>
  </w:abstractNum>
  <w:abstractNum w:abstractNumId="25">
    <w:nsid w:val="7A6D8D3C"/>
    <w:multiLevelType w:val="hybridMultilevel"/>
    <w:lvl w:ilvl="0">
      <w:lvlJc w:val="left"/>
      <w:lvlText w:val="%1."/>
      <w:numFmt w:val="decimal"/>
      <w:start w:val="3"/>
    </w:lvl>
  </w:abstractNum>
  <w:abstractNum w:abstractNumId="26">
    <w:nsid w:val="4B588F54"/>
    <w:multiLevelType w:val="hybridMultilevel"/>
    <w:lvl w:ilvl="0">
      <w:lvlJc w:val="left"/>
      <w:lvlText w:val="%1."/>
      <w:numFmt w:val="decimal"/>
      <w:start w:val="4"/>
    </w:lvl>
  </w:abstractNum>
  <w:abstractNum w:abstractNumId="27">
    <w:nsid w:val="542289EC"/>
    <w:multiLevelType w:val="hybridMultilevel"/>
    <w:lvl w:ilvl="0">
      <w:lvlJc w:val="left"/>
      <w:lvlText w:val="%1."/>
      <w:numFmt w:val="decimal"/>
      <w:start w:val="6"/>
    </w:lvl>
  </w:abstractNum>
  <w:abstractNum w:abstractNumId="28">
    <w:nsid w:val="6DE91B18"/>
    <w:multiLevelType w:val="hybridMultilevel"/>
    <w:lvl w:ilvl="0">
      <w:lvlJc w:val="left"/>
      <w:lvlText w:val="%1."/>
      <w:numFmt w:val="decimal"/>
      <w:start w:val="8"/>
    </w:lvl>
  </w:abstractNum>
  <w:abstractNum w:abstractNumId="29">
    <w:nsid w:val="38437FDB"/>
    <w:multiLevelType w:val="hybridMultilevel"/>
    <w:lvl w:ilvl="0">
      <w:lvlJc w:val="left"/>
      <w:lvlText w:val="%1."/>
      <w:numFmt w:val="decimal"/>
      <w:start w:val="9"/>
    </w:lvl>
  </w:abstractNum>
  <w:abstractNum w:abstractNumId="30">
    <w:nsid w:val="7644A45C"/>
    <w:multiLevelType w:val="hybridMultilevel"/>
    <w:lvl w:ilvl="0">
      <w:lvlJc w:val="left"/>
      <w:lvlText w:val="%1."/>
      <w:numFmt w:val="decimal"/>
      <w:start w:val="10"/>
    </w:lvl>
  </w:abstractNum>
  <w:abstractNum w:abstractNumId="31">
    <w:nsid w:val="32FFF902"/>
    <w:multiLevelType w:val="hybridMultilevel"/>
    <w:lvl w:ilvl="0">
      <w:lvlJc w:val="left"/>
      <w:lvlText w:val="%1."/>
      <w:numFmt w:val="decimal"/>
      <w:start w:val="12"/>
    </w:lvl>
  </w:abstractNum>
  <w:abstractNum w:abstractNumId="32">
    <w:nsid w:val="684A481A"/>
    <w:multiLevelType w:val="hybridMultilevel"/>
    <w:lvl w:ilvl="0">
      <w:lvlJc w:val="left"/>
      <w:lvlText w:val="%1."/>
      <w:numFmt w:val="decimal"/>
      <w:start w:val="13"/>
    </w:lvl>
  </w:abstractNum>
  <w:abstractNum w:abstractNumId="33">
    <w:nsid w:val="579478FE"/>
    <w:multiLevelType w:val="hybridMultilevel"/>
    <w:lvl w:ilvl="0">
      <w:lvlJc w:val="left"/>
      <w:lvlText w:val="%1."/>
      <w:numFmt w:val="decimal"/>
      <w:start w:val="14"/>
    </w:lvl>
  </w:abstractNum>
  <w:abstractNum w:abstractNumId="34">
    <w:nsid w:val="749ABB43"/>
    <w:multiLevelType w:val="hybridMultilevel"/>
    <w:lvl w:ilvl="0">
      <w:lvlJc w:val="left"/>
      <w:lvlText w:val="%1."/>
      <w:numFmt w:val="decimal"/>
      <w:start w:val="16"/>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1)"/>
      <w:numFmt w:val="lowerLetter"/>
      <w:start w:val="2"/>
    </w:lvl>
  </w:abstractNum>
  <w:abstractNum w:abstractNumId="38">
    <w:nsid w:val="75C6C33A"/>
    <w:multiLevelType w:val="hybridMultilevel"/>
    <w:lvl w:ilvl="0">
      <w:lvlJc w:val="left"/>
      <w:lvlText w:val="(%1)"/>
      <w:numFmt w:val="lowerLetter"/>
      <w:start w:val="5"/>
    </w:lvl>
  </w:abstractNum>
  <w:abstractNum w:abstractNumId="39">
    <w:nsid w:val="12E685FB"/>
    <w:multiLevelType w:val="hybridMultilevel"/>
    <w:lvl w:ilvl="0">
      <w:lvlJc w:val="left"/>
      <w:lvlText w:val="(%1)"/>
      <w:numFmt w:val="lowerLetter"/>
      <w:start w:val="1"/>
    </w:lvl>
  </w:abstractNum>
  <w:abstractNum w:abstractNumId="40">
    <w:nsid w:val="70C6A52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41">
    <w:nsid w:val="520EEDD1"/>
    <w:multiLevelType w:val="hybridMultilevel"/>
    <w:lvl w:ilvl="0">
      <w:lvlJc w:val="left"/>
      <w:lvlText w:val="%1"/>
      <w:numFmt w:val="lowerLetter"/>
      <w:start w:val="1"/>
    </w:lvl>
    <w:lvl w:ilvl="1">
      <w:lvlJc w:val="left"/>
      <w:lvlText w:val="(%2)"/>
      <w:numFmt w:val="lowerRoman"/>
      <w:start w:val="4"/>
    </w:lvl>
  </w:abstractNum>
  <w:abstractNum w:abstractNumId="42">
    <w:nsid w:val="374A3FE6"/>
    <w:multiLevelType w:val="hybridMultilevel"/>
    <w:lvl w:ilvl="0">
      <w:lvlJc w:val="left"/>
      <w:lvlText w:val="(%1)"/>
      <w:numFmt w:val="lowerLetter"/>
      <w:start w:val="2"/>
    </w:lvl>
    <w:lvl w:ilvl="1">
      <w:lvlJc w:val="left"/>
      <w:lvlText w:val="(%2)"/>
      <w:numFmt w:val="lowerRoman"/>
      <w:start w:val="1"/>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1)"/>
      <w:numFmt w:val="lowerLetter"/>
      <w:start w:val="1"/>
    </w:lvl>
  </w:abstractNum>
  <w:abstractNum w:abstractNumId="45">
    <w:nsid w:val="649BB77C"/>
    <w:multiLevelType w:val="hybridMultilevel"/>
    <w:lvl w:ilvl="0">
      <w:lvlJc w:val="left"/>
      <w:lvlText w:val="(%1)"/>
      <w:numFmt w:val="lowerLetter"/>
      <w:start w:val="1"/>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lowerLetter"/>
      <w:start w:val="2"/>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lowerLetter"/>
      <w:start w:val="1"/>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2"/>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decimal"/>
      <w:start w:val="2"/>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3"/>
    </w:lvl>
  </w:abstractNum>
  <w:abstractNum w:abstractNumId="57">
    <w:nsid w:val="3F6AB60F"/>
    <w:multiLevelType w:val="hybridMultilevel"/>
    <w:lvl w:ilvl="0">
      <w:lvlJc w:val="left"/>
      <w:lvlText w:val="%1."/>
      <w:numFmt w:val="decimal"/>
      <w:start w:val="4"/>
    </w:lvl>
    <w:lvl w:ilvl="1">
      <w:lvlJc w:val="left"/>
      <w:lvlText w:val="(%2)"/>
      <w:numFmt w:val="lowerLetter"/>
      <w:start w:val="1"/>
    </w:lvl>
  </w:abstractNum>
  <w:abstractNum w:abstractNumId="58">
    <w:nsid w:val="61574095"/>
    <w:multiLevelType w:val="hybridMultilevel"/>
    <w:lvl w:ilvl="0">
      <w:lvlJc w:val="left"/>
      <w:lvlText w:val="%1."/>
      <w:numFmt w:val="decimal"/>
      <w:start w:val="6"/>
    </w:lvl>
  </w:abstractNum>
  <w:abstractNum w:abstractNumId="59">
    <w:nsid w:val="7E0C57B1"/>
    <w:multiLevelType w:val="hybridMultilevel"/>
    <w:lvl w:ilvl="0">
      <w:lvlJc w:val="left"/>
      <w:lvlText w:val="%1."/>
      <w:numFmt w:val="decimal"/>
      <w:start w:val="7"/>
    </w:lvl>
    <w:lvl w:ilvl="1">
      <w:lvlJc w:val="left"/>
      <w:lvlText w:val="(%2)"/>
      <w:numFmt w:val="lowerLetter"/>
      <w:start w:val="1"/>
    </w:lvl>
  </w:abstractNum>
  <w:abstractNum w:abstractNumId="60">
    <w:nsid w:val="77AE35EB"/>
    <w:multiLevelType w:val="hybridMultilevel"/>
    <w:lvl w:ilvl="0">
      <w:lvlJc w:val="left"/>
      <w:lvlText w:val="%1."/>
      <w:numFmt w:val="decimal"/>
      <w:start w:val="8"/>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7" Type="http://schemas.openxmlformats.org/officeDocument/2006/relationships/image" Target="media/image129.png"/><Relationship Id="rId139" Type="http://schemas.openxmlformats.org/officeDocument/2006/relationships/image" Target="media/image130.png"/><Relationship Id="rId141" Type="http://schemas.openxmlformats.org/officeDocument/2006/relationships/image" Target="media/image131.png"/><Relationship Id="rId143" Type="http://schemas.openxmlformats.org/officeDocument/2006/relationships/image" Target="media/image132.png"/><Relationship Id="rId145" Type="http://schemas.openxmlformats.org/officeDocument/2006/relationships/image" Target="media/image133.png"/><Relationship Id="rId147" Type="http://schemas.openxmlformats.org/officeDocument/2006/relationships/image" Target="media/image134.png"/><Relationship Id="rId149" Type="http://schemas.openxmlformats.org/officeDocument/2006/relationships/image" Target="media/image135.png"/><Relationship Id="rId151" Type="http://schemas.openxmlformats.org/officeDocument/2006/relationships/image" Target="media/image136.png"/><Relationship Id="rId153" Type="http://schemas.openxmlformats.org/officeDocument/2006/relationships/image" Target="media/image137.png"/><Relationship Id="rId155" Type="http://schemas.openxmlformats.org/officeDocument/2006/relationships/image" Target="media/image138.png"/><Relationship Id="rId157" Type="http://schemas.openxmlformats.org/officeDocument/2006/relationships/image" Target="media/image139.png"/><Relationship Id="rId159"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5" Type="http://schemas.openxmlformats.org/officeDocument/2006/relationships/image" Target="media/image154.png"/><Relationship Id="rId177" Type="http://schemas.openxmlformats.org/officeDocument/2006/relationships/image" Target="media/image155.png"/><Relationship Id="rId179" Type="http://schemas.openxmlformats.org/officeDocument/2006/relationships/image" Target="media/image156.png"/><Relationship Id="rId181" Type="http://schemas.openxmlformats.org/officeDocument/2006/relationships/image" Target="media/image157.png"/><Relationship Id="rId183" Type="http://schemas.openxmlformats.org/officeDocument/2006/relationships/image" Target="media/image158.png"/><Relationship Id="rId185" Type="http://schemas.openxmlformats.org/officeDocument/2006/relationships/image" Target="media/image159.png"/><Relationship Id="rId187" Type="http://schemas.openxmlformats.org/officeDocument/2006/relationships/image" Target="media/image160.png"/><Relationship Id="rId189" Type="http://schemas.openxmlformats.org/officeDocument/2006/relationships/image" Target="media/image161.png"/><Relationship Id="rId191" Type="http://schemas.openxmlformats.org/officeDocument/2006/relationships/image" Target="media/image162.png"/><Relationship Id="rId193"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10" Type="http://schemas.openxmlformats.org/officeDocument/2006/relationships/image" Target="media/image178.png"/><Relationship Id="rId212" Type="http://schemas.openxmlformats.org/officeDocument/2006/relationships/image" Target="media/image179.png"/><Relationship Id="rId214" Type="http://schemas.openxmlformats.org/officeDocument/2006/relationships/image" Target="media/image180.png"/><Relationship Id="rId216" Type="http://schemas.openxmlformats.org/officeDocument/2006/relationships/image" Target="media/image181.png"/><Relationship Id="rId218" Type="http://schemas.openxmlformats.org/officeDocument/2006/relationships/image" Target="media/image182.png"/><Relationship Id="rId220" Type="http://schemas.openxmlformats.org/officeDocument/2006/relationships/image" Target="media/image183.png"/><Relationship Id="rId222" Type="http://schemas.openxmlformats.org/officeDocument/2006/relationships/image" Target="media/image184.png"/><Relationship Id="rId224" Type="http://schemas.openxmlformats.org/officeDocument/2006/relationships/image" Target="media/image185.png"/><Relationship Id="rId226" Type="http://schemas.openxmlformats.org/officeDocument/2006/relationships/image" Target="media/image186.png"/><Relationship Id="rId228" Type="http://schemas.openxmlformats.org/officeDocument/2006/relationships/image" Target="media/image187.png"/><Relationship Id="rId230"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6" Type="http://schemas.openxmlformats.org/officeDocument/2006/relationships/image" Target="media/image191.png"/><Relationship Id="rId237" Type="http://schemas.openxmlformats.org/officeDocument/2006/relationships/image" Target="media/image192.png"/><Relationship Id="rId238" Type="http://schemas.openxmlformats.org/officeDocument/2006/relationships/image" Target="media/image193.png"/><Relationship Id="rId239" Type="http://schemas.openxmlformats.org/officeDocument/2006/relationships/image" Target="media/image194.png"/><Relationship Id="rId240"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44" Type="http://schemas.openxmlformats.org/officeDocument/2006/relationships/image" Target="media/image199.png"/><Relationship Id="rId245" Type="http://schemas.openxmlformats.org/officeDocument/2006/relationships/image" Target="media/image200.png"/><Relationship Id="rId247" Type="http://schemas.openxmlformats.org/officeDocument/2006/relationships/image" Target="media/image201.png"/><Relationship Id="rId249" Type="http://schemas.openxmlformats.org/officeDocument/2006/relationships/image" Target="media/image202.png"/><Relationship Id="rId251" Type="http://schemas.openxmlformats.org/officeDocument/2006/relationships/image" Target="media/image203.png"/><Relationship Id="rId253" Type="http://schemas.openxmlformats.org/officeDocument/2006/relationships/image" Target="media/image204.png"/><Relationship Id="rId254" Type="http://schemas.openxmlformats.org/officeDocument/2006/relationships/image" Target="media/image205.png"/><Relationship Id="rId255" Type="http://schemas.openxmlformats.org/officeDocument/2006/relationships/image" Target="media/image206.png"/><Relationship Id="rId256" Type="http://schemas.openxmlformats.org/officeDocument/2006/relationships/image" Target="media/image207.png"/><Relationship Id="rId257" Type="http://schemas.openxmlformats.org/officeDocument/2006/relationships/image" Target="media/image208.png"/><Relationship Id="rId258" Type="http://schemas.openxmlformats.org/officeDocument/2006/relationships/image" Target="media/image209.png"/><Relationship Id="rId259" Type="http://schemas.openxmlformats.org/officeDocument/2006/relationships/image" Target="media/image210.png"/><Relationship Id="rId261" Type="http://schemas.openxmlformats.org/officeDocument/2006/relationships/image" Target="media/image211.png"/><Relationship Id="rId262" Type="http://schemas.openxmlformats.org/officeDocument/2006/relationships/image" Target="media/image212.png"/><Relationship Id="rId263" Type="http://schemas.openxmlformats.org/officeDocument/2006/relationships/image" Target="media/image213.png"/><Relationship Id="rId264" Type="http://schemas.openxmlformats.org/officeDocument/2006/relationships/image" Target="media/image214.png"/><Relationship Id="rId265" Type="http://schemas.openxmlformats.org/officeDocument/2006/relationships/image" Target="media/image215.png"/><Relationship Id="rId266" Type="http://schemas.openxmlformats.org/officeDocument/2006/relationships/image" Target="media/image216.png"/><Relationship Id="rId267" Type="http://schemas.openxmlformats.org/officeDocument/2006/relationships/image" Target="media/image217.png"/><Relationship Id="rId268" Type="http://schemas.openxmlformats.org/officeDocument/2006/relationships/image" Target="media/image218.png"/><Relationship Id="rId269" Type="http://schemas.openxmlformats.org/officeDocument/2006/relationships/image" Target="media/image219.png"/><Relationship Id="rId270" Type="http://schemas.openxmlformats.org/officeDocument/2006/relationships/image" Target="media/image220.png"/><Relationship Id="rId271" Type="http://schemas.openxmlformats.org/officeDocument/2006/relationships/image" Target="media/image221.png"/><Relationship Id="rId272" Type="http://schemas.openxmlformats.org/officeDocument/2006/relationships/image" Target="media/image222.png"/><Relationship Id="rId273" Type="http://schemas.openxmlformats.org/officeDocument/2006/relationships/image" Target="media/image223.png"/><Relationship Id="rId274" Type="http://schemas.openxmlformats.org/officeDocument/2006/relationships/image" Target="media/image224.png"/><Relationship Id="rId275" Type="http://schemas.openxmlformats.org/officeDocument/2006/relationships/image" Target="media/image225.png"/><Relationship Id="rId276" Type="http://schemas.openxmlformats.org/officeDocument/2006/relationships/image" Target="media/image226.png"/><Relationship Id="rId277" Type="http://schemas.openxmlformats.org/officeDocument/2006/relationships/image" Target="media/image227.png"/><Relationship Id="rId278" Type="http://schemas.openxmlformats.org/officeDocument/2006/relationships/image" Target="media/image228.png"/><Relationship Id="rId279" Type="http://schemas.openxmlformats.org/officeDocument/2006/relationships/image" Target="media/image229.png"/><Relationship Id="rId280" Type="http://schemas.openxmlformats.org/officeDocument/2006/relationships/image" Target="media/image230.png"/><Relationship Id="rId281" Type="http://schemas.openxmlformats.org/officeDocument/2006/relationships/image" Target="media/image231.png"/><Relationship Id="rId282" Type="http://schemas.openxmlformats.org/officeDocument/2006/relationships/image" Target="media/image232.png"/><Relationship Id="rId283" Type="http://schemas.openxmlformats.org/officeDocument/2006/relationships/image" Target="media/image233.png"/><Relationship Id="rId284" Type="http://schemas.openxmlformats.org/officeDocument/2006/relationships/image" Target="media/image234.png"/><Relationship Id="rId285" Type="http://schemas.openxmlformats.org/officeDocument/2006/relationships/image" Target="media/image235.png"/><Relationship Id="rId286" Type="http://schemas.openxmlformats.org/officeDocument/2006/relationships/image" Target="media/image236.png"/><Relationship Id="rId287" Type="http://schemas.openxmlformats.org/officeDocument/2006/relationships/image" Target="media/image237.png"/><Relationship Id="rId288" Type="http://schemas.openxmlformats.org/officeDocument/2006/relationships/image" Target="media/image238.png"/><Relationship Id="rId289" Type="http://schemas.openxmlformats.org/officeDocument/2006/relationships/image" Target="media/image239.png"/><Relationship Id="rId290" Type="http://schemas.openxmlformats.org/officeDocument/2006/relationships/image" Target="media/image240.png"/><Relationship Id="rId291" Type="http://schemas.openxmlformats.org/officeDocument/2006/relationships/image" Target="media/image241.png"/><Relationship Id="rId292" Type="http://schemas.openxmlformats.org/officeDocument/2006/relationships/image" Target="media/image242.png"/><Relationship Id="rId293" Type="http://schemas.openxmlformats.org/officeDocument/2006/relationships/image" Target="media/image243.png"/><Relationship Id="rId294" Type="http://schemas.openxmlformats.org/officeDocument/2006/relationships/image" Target="media/image244.png"/><Relationship Id="rId295" Type="http://schemas.openxmlformats.org/officeDocument/2006/relationships/image" Target="media/image245.png"/><Relationship Id="rId296" Type="http://schemas.openxmlformats.org/officeDocument/2006/relationships/image" Target="media/image246.png"/><Relationship Id="rId297" Type="http://schemas.openxmlformats.org/officeDocument/2006/relationships/image" Target="media/image247.png"/><Relationship Id="rId136" Type="http://schemas.openxmlformats.org/officeDocument/2006/relationships/hyperlink" Target="http://www.sec.gov/Archives/edgar/data/1368514/000119380517000054/e615690_ex2-1.htm" TargetMode="External"/><Relationship Id="rId138" Type="http://schemas.openxmlformats.org/officeDocument/2006/relationships/hyperlink" Target="http://www.sec.gov/Archives/edgar/data/1368514/000119380517001080/e616248_ex3-1.htm" TargetMode="External"/><Relationship Id="rId140" Type="http://schemas.openxmlformats.org/officeDocument/2006/relationships/hyperlink" Target="http://www.sec.gov/Archives/edgar/data/1368514/000119380516004084/e615468_ex3-1.htm" TargetMode="External"/><Relationship Id="rId142" Type="http://schemas.openxmlformats.org/officeDocument/2006/relationships/hyperlink" Target="http://www.sec.gov/Archives/edgar/data/1368514/000119380512000555/e609522_ex4-1.htm" TargetMode="External"/><Relationship Id="rId144" Type="http://schemas.openxmlformats.org/officeDocument/2006/relationships/hyperlink" Target="http://www.sec.gov/Archives/edgar/data/1368514/000119380513000287/e610467_ex4-3.htm" TargetMode="External"/><Relationship Id="rId146" Type="http://schemas.openxmlformats.org/officeDocument/2006/relationships/hyperlink" Target="http://www.sec.gov/Archives/edgar/data/1368514/000119380516003247/e615009_ex4-6.htm" TargetMode="External"/><Relationship Id="rId148" Type="http://schemas.openxmlformats.org/officeDocument/2006/relationships/hyperlink" Target="http://www.sec.gov/Archives/edgar/data/1368514/000119380517003270/e617372_ex4-2.htm" TargetMode="External"/><Relationship Id="rId150" Type="http://schemas.openxmlformats.org/officeDocument/2006/relationships/hyperlink" Target="http://www.sec.gov/Archives/edgar/data/1368514/000119380513000287/e610467_ex4-4.htm" TargetMode="External"/><Relationship Id="rId152" Type="http://schemas.openxmlformats.org/officeDocument/2006/relationships/hyperlink" Target="http://www.sec.gov/Archives/edgar/data/1368514/000119380516003247/e615009_ex4-7.htm" TargetMode="External"/><Relationship Id="rId154" Type="http://schemas.openxmlformats.org/officeDocument/2006/relationships/hyperlink" Target="http://www.sec.gov/Archives/edgar/data/1368514/000119380517003270/e617372_ex4-1.htm" TargetMode="External"/><Relationship Id="rId156" Type="http://schemas.openxmlformats.org/officeDocument/2006/relationships/hyperlink" Target="http://www.sec.gov/Archives/edgar/data/1368514/000119380512001750/e610168_def14c-adma.htm" TargetMode="External"/><Relationship Id="rId158" Type="http://schemas.openxmlformats.org/officeDocument/2006/relationships/hyperlink" Target="http://www.sec.gov/Archives/edgar/data/1368514/000119380517001506/e616485_ex10-1.htm" TargetMode="External"/><Relationship Id="rId160" Type="http://schemas.openxmlformats.org/officeDocument/2006/relationships/hyperlink" Target="http://www.sec.gov/Archives/edgar/data/1368514/000119380516002889/e614766_ex10-2.htm" TargetMode="External"/><Relationship Id="rId174" Type="http://schemas.openxmlformats.org/officeDocument/2006/relationships/hyperlink" Target="http://www.sec.gov/Archives/edgar/data/1368514/000119380516002889/e614766_ex10-8.htm" TargetMode="External"/><Relationship Id="rId176" Type="http://schemas.openxmlformats.org/officeDocument/2006/relationships/hyperlink" Target="http://www.sec.gov/Archives/edgar/data/1368514/000119380516002889/e614766_ex10-11.htm" TargetMode="External"/><Relationship Id="rId178" Type="http://schemas.openxmlformats.org/officeDocument/2006/relationships/hyperlink" Target="http://www.sec.gov/Archives/edgar/data/1368514/000119380512001076/e609784_ex10-9.htm" TargetMode="External"/><Relationship Id="rId180" Type="http://schemas.openxmlformats.org/officeDocument/2006/relationships/hyperlink" Target="http://www.sec.gov/Archives/edgar/data/1368514/000119380516002889/e614766_ex10-31.htm" TargetMode="External"/><Relationship Id="rId182" Type="http://schemas.openxmlformats.org/officeDocument/2006/relationships/hyperlink" Target="http://www.sec.gov/Archives/edgar/data/1368514/000119380516003247/e615009_ex10-32.htm" TargetMode="External"/><Relationship Id="rId184" Type="http://schemas.openxmlformats.org/officeDocument/2006/relationships/hyperlink" Target="http://www.sec.gov/Archives/edgar/data/1368514/000119380517001446/e616455_ex10-9.htm" TargetMode="External"/><Relationship Id="rId186" Type="http://schemas.openxmlformats.org/officeDocument/2006/relationships/hyperlink" Target="http://www.sec.gov/Archives/edgar/data/1368514/000119380516002889/e614766_ex10-10.htm" TargetMode="External"/><Relationship Id="rId188" Type="http://schemas.openxmlformats.org/officeDocument/2006/relationships/hyperlink" Target="http://www.sec.gov/Archives/edgar/data/1368514/000119380517001446/e616455_ex10-5.htm" TargetMode="External"/><Relationship Id="rId190" Type="http://schemas.openxmlformats.org/officeDocument/2006/relationships/hyperlink" Target="http://www.sec.gov/Archives/edgar/data/1368514/000119380517001446/e616455_ex10-6.htm" TargetMode="External"/><Relationship Id="rId192" Type="http://schemas.openxmlformats.org/officeDocument/2006/relationships/hyperlink" Target="http://www.sec.gov/Archives/edgar/data/1368514/000119380516003725/e615266_ex10-18.htm" TargetMode="External"/><Relationship Id="rId194" Type="http://schemas.openxmlformats.org/officeDocument/2006/relationships/hyperlink" Target="http://www.sec.gov/Archives/edgar/data/1368514/000119380512000196/e609275_ex10-11.htm" TargetMode="External"/><Relationship Id="rId209" Type="http://schemas.openxmlformats.org/officeDocument/2006/relationships/hyperlink" Target="http://www.sec.gov/Archives/edgar/data/1368514/000119380514000641/e611969_ex10-12.htm" TargetMode="External"/><Relationship Id="rId211" Type="http://schemas.openxmlformats.org/officeDocument/2006/relationships/hyperlink" Target="http://www.sec.gov/Archives/edgar/data/1368514/000119380517000330/e615811_ex10-22.htm" TargetMode="External"/><Relationship Id="rId213" Type="http://schemas.openxmlformats.org/officeDocument/2006/relationships/hyperlink" Target="http://www.sec.gov/Archives/edgar/data/1368514/000119380517001446/e616455_ex10-7.htm" TargetMode="External"/><Relationship Id="rId215" Type="http://schemas.openxmlformats.org/officeDocument/2006/relationships/hyperlink" Target="http://www.sec.gov/Archives/edgar/data/1368514/000119380512000196/e609275_ex10-12.htm" TargetMode="External"/><Relationship Id="rId217" Type="http://schemas.openxmlformats.org/officeDocument/2006/relationships/hyperlink" Target="http://www.sec.gov/Archives/edgar/data/1368514/000119380512001341/e609936_ex10-16.htm" TargetMode="External"/><Relationship Id="rId219" Type="http://schemas.openxmlformats.org/officeDocument/2006/relationships/hyperlink" Target="http://www.sec.gov/Archives/edgar/data/1368514/000119380515001351/e613967_ex10-23.htm" TargetMode="External"/><Relationship Id="rId221" Type="http://schemas.openxmlformats.org/officeDocument/2006/relationships/hyperlink" Target="http://www.sec.gov/Archives/edgar/data/1368514/000119380516003247/e615009_ex10-171.htm" TargetMode="External"/><Relationship Id="rId223" Type="http://schemas.openxmlformats.org/officeDocument/2006/relationships/hyperlink" Target="http://www.sec.gov/Archives/edgar/data/1368514/000119380517001080/e616248_ex10-1.htm" TargetMode="External"/><Relationship Id="rId225" Type="http://schemas.openxmlformats.org/officeDocument/2006/relationships/hyperlink" Target="http://www.sec.gov/Archives/edgar/data/1368514/000119380517003270/e617372_ex10-1.htm" TargetMode="External"/><Relationship Id="rId227" Type="http://schemas.openxmlformats.org/officeDocument/2006/relationships/hyperlink" Target="http://www.sec.gov/Archives/edgar/data/1368514/000119380517003270/e617372_ex10-2.htm" TargetMode="External"/><Relationship Id="rId229" Type="http://schemas.openxmlformats.org/officeDocument/2006/relationships/hyperlink" Target="http://www.sec.gov/Archives/edgar/data/1368514/000119380517003270/e617372_ex10-3.htm" TargetMode="External"/><Relationship Id="rId231" Type="http://schemas.openxmlformats.org/officeDocument/2006/relationships/hyperlink" Target="http://www.sec.gov/Archives/edgar/data/1368514/000119380517003270/e617372_ex10-4.htm" TargetMode="External"/><Relationship Id="rId234" Type="http://schemas.openxmlformats.org/officeDocument/2006/relationships/hyperlink" Target="http://www.sec.gov/Archives/edgar/data/1368514/000119380513000287/e610467_ex10-21.htm" TargetMode="External"/><Relationship Id="rId235" Type="http://schemas.openxmlformats.org/officeDocument/2006/relationships/hyperlink" Target="http://www.sec.gov/Archives/edgar/data/1368514/000119380517001446/e616455_ex10-8.htm" TargetMode="External"/><Relationship Id="rId246" Type="http://schemas.openxmlformats.org/officeDocument/2006/relationships/hyperlink" Target="http://www.sec.gov/Archives/edgar/data/1368514/000119380517001080/e616248_ex10-2.htm" TargetMode="External"/><Relationship Id="rId248" Type="http://schemas.openxmlformats.org/officeDocument/2006/relationships/hyperlink" Target="http://www.sec.gov/Archives/edgar/data/1368514/000119380517001080/e616248_ex10-3.htm" TargetMode="External"/><Relationship Id="rId250" Type="http://schemas.openxmlformats.org/officeDocument/2006/relationships/hyperlink" Target="http://www.sec.gov/Archives/edgar/data/1368514/000119380517001446/e616455_ex10-4.htm" TargetMode="External"/><Relationship Id="rId252" Type="http://schemas.openxmlformats.org/officeDocument/2006/relationships/hyperlink" Target="http://www.sec.gov/Archives/edgar/data/1368514/000119380517001446/e616455_ex10-10.htm" TargetMode="External"/><Relationship Id="rId260" Type="http://schemas.openxmlformats.org/officeDocument/2006/relationships/hyperlink" Target="http://www.sec.gov/Archives/edgar/data/1368514/000119380517003279/e617359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2020-01-14T20:54:23Z</dcterms:created>
  <dcterms:modified xsi:type="dcterms:W3CDTF">2020-01-14T20:54:23Z</dcterms:modified>
</cp:coreProperties>
</file>